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outlineLvl w:val="9"/>
        <w:rPr>
          <w:rFonts w:hint="default"/>
          <w:lang w:val="en-US" w:eastAsia="zh-CN"/>
        </w:rPr>
      </w:pPr>
      <w:r>
        <w:rPr>
          <w:rFonts w:hint="eastAsia"/>
          <w:lang w:val="en-US" w:eastAsia="zh-CN"/>
        </w:rPr>
        <w:t>附件2</w:t>
      </w:r>
    </w:p>
    <w:p>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center"/>
        <w:textAlignment w:val="auto"/>
        <w:outlineLvl w:val="0"/>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部门整体支出绩效评价基础数据表</w:t>
      </w:r>
    </w:p>
    <w:p>
      <w:pPr>
        <w:widowControl/>
        <w:tabs>
          <w:tab w:val="left" w:pos="3611"/>
          <w:tab w:val="left" w:pos="4791"/>
          <w:tab w:val="left" w:pos="5951"/>
          <w:tab w:val="left" w:pos="7071"/>
          <w:tab w:val="left" w:pos="8191"/>
          <w:tab w:val="left" w:pos="9311"/>
        </w:tabs>
        <w:ind w:left="91"/>
        <w:jc w:val="left"/>
        <w:rPr>
          <w:rFonts w:hint="eastAsia" w:eastAsia="仿宋_GB2312"/>
          <w:kern w:val="0"/>
          <w:sz w:val="24"/>
          <w:lang w:val="en-US" w:eastAsia="zh-CN"/>
        </w:rPr>
      </w:pPr>
      <w:r>
        <w:rPr>
          <w:rFonts w:hint="eastAsia" w:eastAsia="仿宋_GB2312"/>
          <w:kern w:val="0"/>
          <w:sz w:val="24"/>
          <w:lang w:val="en-US" w:eastAsia="zh-CN"/>
        </w:rPr>
        <w:t xml:space="preserve">填报单位：岳阳市云溪区人民代表大会常务委员会                                   </w:t>
      </w:r>
    </w:p>
    <w:tbl>
      <w:tblPr>
        <w:tblStyle w:val="7"/>
        <w:tblW w:w="5425" w:type="pct"/>
        <w:tblInd w:w="-3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3226"/>
        <w:gridCol w:w="792"/>
        <w:gridCol w:w="1222"/>
        <w:gridCol w:w="925"/>
        <w:gridCol w:w="1325"/>
        <w:gridCol w:w="976"/>
        <w:gridCol w:w="12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8" w:hRule="atLeast"/>
        </w:trPr>
        <w:tc>
          <w:tcPr>
            <w:tcW w:w="1661"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财政供养人员情况</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编制数</w:t>
            </w: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2023年实际在职人数</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控制率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4" w:hRule="atLeast"/>
        </w:trPr>
        <w:tc>
          <w:tcPr>
            <w:tcW w:w="1661" w:type="pct"/>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w:t>
            </w: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36"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经费控制情况(万元)</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2022年决算数</w:t>
            </w: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2023年预算数</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2023年决算数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三公经费</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1.38</w:t>
            </w: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1、公务用车购置和维护经费</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其中：公车购置</w:t>
            </w:r>
          </w:p>
        </w:tc>
        <w:tc>
          <w:tcPr>
            <w:tcW w:w="1037"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41"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公车运行维护</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41"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2、出国经费</w:t>
            </w:r>
          </w:p>
        </w:tc>
        <w:tc>
          <w:tcPr>
            <w:tcW w:w="1037"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41"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3、公务接待</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1.38</w:t>
            </w: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项目支出：</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w:t>
            </w: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164.03</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164.03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1、业务工作经费</w:t>
            </w:r>
          </w:p>
        </w:tc>
        <w:tc>
          <w:tcPr>
            <w:tcW w:w="1037"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41"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2、运行维护经费</w:t>
            </w:r>
          </w:p>
        </w:tc>
        <w:tc>
          <w:tcPr>
            <w:tcW w:w="1037"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41"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4" w:hRule="atLeast"/>
        </w:trPr>
        <w:tc>
          <w:tcPr>
            <w:tcW w:w="166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left="0" w:leftChars="0" w:right="0" w:rightChars="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3、本级专项资金（一个专项一行）</w:t>
            </w:r>
          </w:p>
        </w:tc>
        <w:tc>
          <w:tcPr>
            <w:tcW w:w="103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w:t>
            </w: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164.03</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164.03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区六届人大三次会议经费</w:t>
            </w:r>
          </w:p>
        </w:tc>
        <w:tc>
          <w:tcPr>
            <w:tcW w:w="1037"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51.30</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51.30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区人大预算审查监督平台</w:t>
            </w:r>
          </w:p>
        </w:tc>
        <w:tc>
          <w:tcPr>
            <w:tcW w:w="1037"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39.80</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39.80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代表履职</w:t>
            </w:r>
          </w:p>
        </w:tc>
        <w:tc>
          <w:tcPr>
            <w:tcW w:w="1037"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19.89</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19.89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人大代表专业工作站建设</w:t>
            </w:r>
          </w:p>
        </w:tc>
        <w:tc>
          <w:tcPr>
            <w:tcW w:w="1037"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21.24</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21.24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推进城乡社区治理工作经费</w:t>
            </w:r>
          </w:p>
        </w:tc>
        <w:tc>
          <w:tcPr>
            <w:tcW w:w="1037"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6.80</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老干支部</w:t>
            </w:r>
          </w:p>
        </w:tc>
        <w:tc>
          <w:tcPr>
            <w:tcW w:w="1037" w:type="pct"/>
            <w:gridSpan w:val="2"/>
            <w:tcBorders>
              <w:tl2br w:val="nil"/>
              <w:tr2bl w:val="nil"/>
            </w:tcBorders>
            <w:shd w:val="clear" w:color="auto" w:fill="auto"/>
            <w:noWrap/>
            <w:vAlign w:val="center"/>
          </w:tcPr>
          <w:p>
            <w:pPr>
              <w:jc w:val="center"/>
              <w:rPr>
                <w:rFonts w:hint="eastAsia" w:ascii="仿宋" w:hAnsi="仿宋" w:eastAsia="仿宋" w:cs="仿宋"/>
                <w:i w:val="0"/>
                <w:iCs w:val="0"/>
                <w:color w:val="000000"/>
                <w:sz w:val="20"/>
                <w:szCs w:val="20"/>
                <w:u w:val="none"/>
              </w:rPr>
            </w:pPr>
          </w:p>
        </w:tc>
        <w:tc>
          <w:tcPr>
            <w:tcW w:w="115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0"/>
                <w:szCs w:val="20"/>
                <w:u w:val="none"/>
                <w:lang w:val="en-US"/>
              </w:rPr>
            </w:pPr>
            <w:r>
              <w:rPr>
                <w:rFonts w:hint="eastAsia" w:ascii="仿宋" w:hAnsi="仿宋" w:eastAsia="仿宋" w:cs="仿宋"/>
                <w:i w:val="0"/>
                <w:iCs w:val="0"/>
                <w:color w:val="000000"/>
                <w:kern w:val="0"/>
                <w:sz w:val="20"/>
                <w:szCs w:val="20"/>
                <w:u w:val="none"/>
                <w:lang w:val="en-US" w:eastAsia="zh-CN" w:bidi="ar"/>
              </w:rPr>
              <w:t>6.80</w:t>
            </w:r>
          </w:p>
        </w:tc>
        <w:tc>
          <w:tcPr>
            <w:tcW w:w="1141"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公用经费：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80.86</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143.55</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108.46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其中：办公经费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0.87</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15.00</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水费、电费、差旅费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8.13</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19.20</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11.73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会议费、培训费</w:t>
            </w:r>
          </w:p>
        </w:tc>
        <w:tc>
          <w:tcPr>
            <w:tcW w:w="2014"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24.29</w:t>
            </w:r>
          </w:p>
        </w:tc>
        <w:tc>
          <w:tcPr>
            <w:tcW w:w="2250"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24.53</w:t>
            </w:r>
          </w:p>
        </w:tc>
        <w:tc>
          <w:tcPr>
            <w:tcW w:w="2217" w:type="dxa"/>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18.04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政府采购金额</w:t>
            </w:r>
          </w:p>
        </w:tc>
        <w:tc>
          <w:tcPr>
            <w:tcW w:w="1037"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158"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141"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8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 xml:space="preserve">部门基本支出预算调整 </w:t>
            </w:r>
          </w:p>
        </w:tc>
        <w:tc>
          <w:tcPr>
            <w:tcW w:w="1037"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158"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141"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PrEx>
        <w:trPr>
          <w:trHeight w:val="876" w:hRule="atLeast"/>
        </w:trPr>
        <w:tc>
          <w:tcPr>
            <w:tcW w:w="1661"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 xml:space="preserve">楼堂馆所控制情况 </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（2023年完工项目）</w:t>
            </w:r>
          </w:p>
        </w:tc>
        <w:tc>
          <w:tcPr>
            <w:tcW w:w="40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 xml:space="preserve">批复规模 </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w:t>
            </w:r>
          </w:p>
        </w:tc>
        <w:tc>
          <w:tcPr>
            <w:tcW w:w="62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实际规模</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w:t>
            </w:r>
          </w:p>
        </w:tc>
        <w:tc>
          <w:tcPr>
            <w:tcW w:w="4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规模控制率</w:t>
            </w:r>
          </w:p>
        </w:tc>
        <w:tc>
          <w:tcPr>
            <w:tcW w:w="68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预算投资</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（万元）</w:t>
            </w:r>
          </w:p>
        </w:tc>
        <w:tc>
          <w:tcPr>
            <w:tcW w:w="50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实际投资</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（万元）</w:t>
            </w:r>
          </w:p>
        </w:tc>
        <w:tc>
          <w:tcPr>
            <w:tcW w:w="639"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投资概算控制率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trPr>
        <w:tc>
          <w:tcPr>
            <w:tcW w:w="1661"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07"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629"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476"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682"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502"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639"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008" w:hRule="atLeast"/>
        </w:trPr>
        <w:tc>
          <w:tcPr>
            <w:tcW w:w="166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厉行节约保障措施</w:t>
            </w:r>
          </w:p>
        </w:tc>
        <w:tc>
          <w:tcPr>
            <w:tcW w:w="3338" w:type="pct"/>
            <w:gridSpan w:val="6"/>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bl>
    <w:p>
      <w:pPr>
        <w:pStyle w:val="13"/>
        <w:keepNext/>
        <w:keepLines/>
        <w:pageBreakBefore w:val="0"/>
        <w:widowControl w:val="0"/>
        <w:kinsoku/>
        <w:wordWrap/>
        <w:overflowPunct/>
        <w:topLinePunct w:val="0"/>
        <w:autoSpaceDE/>
        <w:autoSpaceDN/>
        <w:bidi w:val="0"/>
        <w:adjustRightInd/>
        <w:snapToGrid/>
        <w:spacing w:line="280" w:lineRule="exact"/>
        <w:ind w:left="0" w:leftChars="0" w:firstLine="0" w:firstLineChars="0"/>
        <w:textAlignment w:val="auto"/>
        <w:outlineLvl w:val="9"/>
        <w:rPr>
          <w:rFonts w:eastAsia="仿宋_GB2312"/>
          <w:kern w:val="0"/>
          <w:sz w:val="22"/>
        </w:rPr>
      </w:pPr>
    </w:p>
    <w:p>
      <w:pPr>
        <w:pStyle w:val="13"/>
        <w:keepNext/>
        <w:keepLines/>
        <w:pageBreakBefore w:val="0"/>
        <w:widowControl w:val="0"/>
        <w:kinsoku/>
        <w:wordWrap/>
        <w:overflowPunct/>
        <w:topLinePunct w:val="0"/>
        <w:autoSpaceDE/>
        <w:autoSpaceDN/>
        <w:bidi w:val="0"/>
        <w:adjustRightInd/>
        <w:snapToGrid/>
        <w:spacing w:line="280" w:lineRule="exact"/>
        <w:ind w:left="0" w:leftChars="0" w:firstLine="0" w:firstLineChars="0"/>
        <w:textAlignment w:val="auto"/>
        <w:outlineLvl w:val="9"/>
        <w:rPr>
          <w:rFonts w:hint="eastAsia"/>
          <w:lang w:val="en-US" w:eastAsia="zh-CN"/>
        </w:rPr>
      </w:pPr>
      <w:r>
        <w:rPr>
          <w:rFonts w:eastAsia="仿宋_GB2312"/>
          <w:kern w:val="0"/>
          <w:sz w:val="22"/>
        </w:rPr>
        <w:t>说明：“项目支出”需要填报基本支出以外的所有项目支出情况，“公用经费”填报基本支出中的一般商品和服务支出。</w:t>
      </w:r>
    </w:p>
    <w:p>
      <w:pPr>
        <w:widowControl w:val="0"/>
        <w:kinsoku/>
        <w:autoSpaceDE/>
        <w:autoSpaceDN/>
        <w:adjustRightInd/>
        <w:snapToGrid/>
        <w:spacing w:line="600" w:lineRule="exact"/>
        <w:jc w:val="both"/>
        <w:textAlignment w:val="auto"/>
        <w:rPr>
          <w:rFonts w:hint="default" w:ascii="Times New Roman" w:hAnsi="Times New Roman" w:eastAsia="仿宋_GB2312" w:cs="Times New Roman"/>
          <w:snapToGrid/>
          <w:color w:val="000000"/>
          <w:kern w:val="0"/>
          <w:sz w:val="24"/>
          <w:szCs w:val="24"/>
          <w:lang w:val="en-US" w:eastAsia="zh-CN" w:bidi="ar-SA"/>
        </w:rPr>
      </w:pPr>
      <w:r>
        <w:rPr>
          <w:rFonts w:hint="default" w:ascii="Times New Roman" w:hAnsi="Times New Roman" w:eastAsia="仿宋_GB2312" w:cs="Times New Roman"/>
          <w:snapToGrid/>
          <w:color w:val="000000"/>
          <w:kern w:val="0"/>
          <w:sz w:val="24"/>
          <w:szCs w:val="24"/>
          <w:lang w:val="en-US" w:eastAsia="zh-CN" w:bidi="ar-SA"/>
        </w:rPr>
        <w:t>填表人：</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 xml:space="preserve">  填报日期：</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联系电话：</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单位负责人签字：</w:t>
      </w: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sectPr>
          <w:footerReference r:id="rId3" w:type="default"/>
          <w:footerReference r:id="rId4" w:type="even"/>
          <w:pgSz w:w="11906" w:h="16838"/>
          <w:pgMar w:top="1588" w:right="1588" w:bottom="1588" w:left="1588" w:header="851" w:footer="992" w:gutter="0"/>
          <w:pgNumType w:start="1"/>
          <w:cols w:space="720" w:num="1"/>
          <w:titlePg/>
          <w:docGrid w:type="linesAndChars" w:linePitch="602" w:charSpace="-782"/>
        </w:sectPr>
      </w:pP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r>
        <w:rPr>
          <w:rFonts w:hint="eastAsia" w:ascii="黑体" w:hAnsi="黑体" w:eastAsia="黑体" w:cs="黑体"/>
          <w:bCs/>
          <w:sz w:val="32"/>
          <w:szCs w:val="32"/>
        </w:rPr>
        <w:t>附件</w:t>
      </w:r>
      <w:r>
        <w:rPr>
          <w:rFonts w:hint="eastAsia" w:ascii="黑体" w:hAnsi="黑体" w:eastAsia="黑体" w:cs="黑体"/>
          <w:bCs/>
          <w:sz w:val="32"/>
          <w:szCs w:val="32"/>
          <w:lang w:val="en-US" w:eastAsia="zh-CN"/>
        </w:rPr>
        <w:t>3-1</w:t>
      </w:r>
      <w:r>
        <w:rPr>
          <w:rFonts w:hint="eastAsia" w:ascii="黑体" w:hAnsi="黑体" w:eastAsia="黑体" w:cs="黑体"/>
          <w:bCs/>
          <w:sz w:val="32"/>
          <w:szCs w:val="32"/>
        </w:rPr>
        <w:t>：</w:t>
      </w: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宋体" w:hAnsi="宋体" w:eastAsia="宋体" w:cs="宋体"/>
          <w:b/>
          <w:bCs w:val="0"/>
          <w:sz w:val="46"/>
          <w:szCs w:val="46"/>
        </w:rPr>
      </w:pPr>
      <w:r>
        <w:rPr>
          <w:rFonts w:hint="eastAsia" w:ascii="宋体" w:hAnsi="宋体" w:eastAsia="宋体" w:cs="宋体"/>
          <w:b/>
          <w:bCs w:val="0"/>
          <w:sz w:val="46"/>
          <w:szCs w:val="46"/>
        </w:rPr>
        <w:t>岳阳市云溪区</w:t>
      </w:r>
      <w:r>
        <w:rPr>
          <w:rFonts w:hint="eastAsia" w:ascii="宋体" w:hAnsi="宋体" w:eastAsia="宋体" w:cs="宋体"/>
          <w:b/>
          <w:bCs w:val="0"/>
          <w:sz w:val="46"/>
          <w:szCs w:val="46"/>
          <w:u w:val="single"/>
        </w:rPr>
        <w:t>20</w:t>
      </w:r>
      <w:r>
        <w:rPr>
          <w:rFonts w:hint="eastAsia" w:ascii="宋体" w:hAnsi="宋体" w:eastAsia="宋体" w:cs="宋体"/>
          <w:b/>
          <w:bCs w:val="0"/>
          <w:sz w:val="46"/>
          <w:szCs w:val="46"/>
          <w:u w:val="single"/>
          <w:lang w:val="en-US" w:eastAsia="zh-CN"/>
        </w:rPr>
        <w:t>23</w:t>
      </w:r>
      <w:r>
        <w:rPr>
          <w:rFonts w:hint="eastAsia" w:ascii="宋体" w:hAnsi="宋体" w:eastAsia="宋体" w:cs="宋体"/>
          <w:b/>
          <w:bCs w:val="0"/>
          <w:sz w:val="46"/>
          <w:szCs w:val="46"/>
        </w:rPr>
        <w:t>年度部门整体支出</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val="0"/>
          <w:sz w:val="46"/>
          <w:szCs w:val="46"/>
        </w:rPr>
      </w:pPr>
      <w:r>
        <w:rPr>
          <w:rFonts w:hint="eastAsia" w:ascii="宋体" w:hAnsi="宋体" w:eastAsia="宋体" w:cs="宋体"/>
          <w:b/>
          <w:bCs w:val="0"/>
          <w:sz w:val="46"/>
          <w:szCs w:val="46"/>
        </w:rPr>
        <w:t>绩效评价自评报告</w:t>
      </w: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r>
        <w:rPr>
          <w:rFonts w:hint="eastAsia" w:eastAsia="仿宋_GB2312"/>
          <w:b/>
          <w:sz w:val="32"/>
          <w:lang w:val="en-US" w:eastAsia="zh-CN"/>
        </w:rPr>
        <w:t xml:space="preserve"> </w:t>
      </w: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u w:val="single"/>
        </w:rPr>
      </w:pPr>
      <w:r>
        <w:rPr>
          <w:rFonts w:hint="eastAsia" w:eastAsia="仿宋_GB2312"/>
          <w:sz w:val="32"/>
          <w:szCs w:val="32"/>
        </w:rPr>
        <w:t>部门(单位)名称：</w:t>
      </w:r>
      <w:r>
        <w:rPr>
          <w:rFonts w:hint="eastAsia" w:eastAsia="仿宋_GB2312"/>
          <w:sz w:val="32"/>
          <w:szCs w:val="32"/>
          <w:u w:val="single"/>
        </w:rPr>
        <w:t xml:space="preserve"> 岳阳市云溪区人民代表大会常务委员会                              </w:t>
      </w:r>
    </w:p>
    <w:p>
      <w:pPr>
        <w:keepNext w:val="0"/>
        <w:keepLines w:val="0"/>
        <w:pageBreakBefore w:val="0"/>
        <w:kinsoku/>
        <w:overflowPunct/>
        <w:topLinePunct w:val="0"/>
        <w:autoSpaceDE/>
        <w:bidi w:val="0"/>
        <w:spacing w:line="560" w:lineRule="exact"/>
        <w:ind w:firstLine="476" w:firstLineChars="150"/>
        <w:rPr>
          <w:rFonts w:hint="eastAsia" w:eastAsia="仿宋_GB2312"/>
          <w:spacing w:val="20"/>
          <w:sz w:val="32"/>
          <w:szCs w:val="32"/>
        </w:rPr>
      </w:pPr>
      <w:r>
        <w:rPr>
          <w:rFonts w:hint="eastAsia" w:eastAsia="仿宋_GB2312"/>
          <w:sz w:val="32"/>
          <w:szCs w:val="32"/>
        </w:rPr>
        <w:t>预</w:t>
      </w:r>
      <w:r>
        <w:rPr>
          <w:rFonts w:hint="eastAsia" w:eastAsia="仿宋_GB2312"/>
          <w:spacing w:val="30"/>
          <w:sz w:val="32"/>
          <w:szCs w:val="32"/>
        </w:rPr>
        <w:t xml:space="preserve"> 算 编 码：</w:t>
      </w:r>
      <w:r>
        <w:rPr>
          <w:rFonts w:hint="eastAsia" w:eastAsia="仿宋_GB2312"/>
          <w:spacing w:val="20"/>
          <w:sz w:val="32"/>
          <w:szCs w:val="32"/>
          <w:u w:val="single"/>
        </w:rPr>
        <w:t xml:space="preserve">          </w:t>
      </w:r>
      <w:r>
        <w:rPr>
          <w:rFonts w:hint="eastAsia" w:eastAsia="仿宋_GB2312"/>
          <w:spacing w:val="20"/>
          <w:sz w:val="32"/>
          <w:szCs w:val="32"/>
          <w:u w:val="single"/>
          <w:lang w:val="en-US" w:eastAsia="zh-CN"/>
        </w:rPr>
        <w:t>107001</w:t>
      </w:r>
      <w:r>
        <w:rPr>
          <w:rFonts w:hint="eastAsia" w:eastAsia="仿宋_GB2312"/>
          <w:spacing w:val="20"/>
          <w:sz w:val="32"/>
          <w:szCs w:val="32"/>
          <w:u w:val="single"/>
        </w:rPr>
        <w:t xml:space="preserve">                  </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评价方式：部门（单位）绩效自评</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 xml:space="preserve">评价机构：部门（单位）评价组   </w:t>
      </w: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r>
        <w:rPr>
          <w:rFonts w:hint="eastAsia" w:eastAsia="仿宋_GB2312"/>
          <w:sz w:val="32"/>
          <w:lang w:val="en-US" w:eastAsia="zh-CN"/>
        </w:rPr>
        <w:t xml:space="preserve">         </w:t>
      </w:r>
      <w:r>
        <w:rPr>
          <w:rFonts w:hint="eastAsia" w:eastAsia="仿宋_GB2312"/>
          <w:sz w:val="32"/>
        </w:rPr>
        <w:t>报告日期：</w:t>
      </w:r>
      <w:r>
        <w:rPr>
          <w:rFonts w:hint="eastAsia" w:eastAsia="仿宋_GB2312"/>
          <w:sz w:val="32"/>
          <w:lang w:val="en-US" w:eastAsia="zh-CN"/>
        </w:rPr>
        <w:t>2024</w:t>
      </w:r>
      <w:r>
        <w:rPr>
          <w:rFonts w:hint="eastAsia" w:eastAsia="仿宋_GB2312"/>
          <w:sz w:val="32"/>
        </w:rPr>
        <w:t xml:space="preserve"> 年 </w:t>
      </w:r>
      <w:r>
        <w:rPr>
          <w:rFonts w:hint="eastAsia" w:eastAsia="仿宋_GB2312"/>
          <w:sz w:val="32"/>
          <w:lang w:val="en-US" w:eastAsia="zh-CN"/>
        </w:rPr>
        <w:t>5</w:t>
      </w:r>
      <w:r>
        <w:rPr>
          <w:rFonts w:hint="eastAsia" w:eastAsia="仿宋_GB2312"/>
          <w:sz w:val="32"/>
        </w:rPr>
        <w:t xml:space="preserve">  月 </w:t>
      </w:r>
      <w:r>
        <w:rPr>
          <w:rFonts w:hint="eastAsia" w:eastAsia="仿宋_GB2312"/>
          <w:sz w:val="32"/>
          <w:lang w:val="en-US" w:eastAsia="zh-CN"/>
        </w:rPr>
        <w:t>30</w:t>
      </w:r>
      <w:r>
        <w:rPr>
          <w:rFonts w:hint="eastAsia" w:eastAsia="仿宋_GB2312"/>
          <w:sz w:val="32"/>
        </w:rPr>
        <w:t xml:space="preserve">  日</w:t>
      </w:r>
    </w:p>
    <w:p>
      <w:pPr>
        <w:keepNext w:val="0"/>
        <w:keepLines w:val="0"/>
        <w:pageBreakBefore w:val="0"/>
        <w:kinsoku/>
        <w:overflowPunct/>
        <w:topLinePunct w:val="0"/>
        <w:autoSpaceDE/>
        <w:autoSpaceDN w:val="0"/>
        <w:bidi w:val="0"/>
        <w:spacing w:line="560" w:lineRule="exact"/>
        <w:jc w:val="center"/>
        <w:textAlignment w:val="center"/>
        <w:rPr>
          <w:rFonts w:hint="eastAsia" w:eastAsia="仿宋_GB2312"/>
          <w:sz w:val="32"/>
          <w:szCs w:val="32"/>
        </w:rPr>
      </w:pPr>
      <w:r>
        <w:rPr>
          <w:rFonts w:hint="eastAsia" w:eastAsia="仿宋_GB2312"/>
          <w:sz w:val="32"/>
          <w:lang w:val="en-US" w:eastAsia="zh-CN"/>
        </w:rPr>
        <w:t xml:space="preserve">          </w:t>
      </w:r>
      <w:r>
        <w:rPr>
          <w:rFonts w:hint="eastAsia" w:eastAsia="仿宋_GB2312"/>
          <w:sz w:val="32"/>
        </w:rPr>
        <w:t>岳阳市云溪财政</w:t>
      </w:r>
      <w:r>
        <w:rPr>
          <w:rFonts w:hint="eastAsia" w:eastAsia="仿宋_GB2312"/>
          <w:sz w:val="32"/>
          <w:szCs w:val="32"/>
        </w:rPr>
        <w:t>局（制）</w:t>
      </w:r>
    </w:p>
    <w:p>
      <w:pPr>
        <w:pStyle w:val="12"/>
        <w:rPr>
          <w:rFonts w:hint="eastAsia" w:eastAsia="仿宋_GB2312"/>
          <w:sz w:val="32"/>
          <w:szCs w:val="32"/>
        </w:rPr>
      </w:pPr>
    </w:p>
    <w:p>
      <w:pPr>
        <w:pStyle w:val="12"/>
        <w:rPr>
          <w:rFonts w:hint="eastAsia" w:eastAsia="仿宋_GB2312"/>
          <w:sz w:val="32"/>
          <w:szCs w:val="32"/>
        </w:rPr>
      </w:pPr>
    </w:p>
    <w:p>
      <w:pPr>
        <w:pStyle w:val="12"/>
        <w:rPr>
          <w:rFonts w:hint="eastAsia" w:eastAsia="仿宋_GB2312"/>
          <w:sz w:val="32"/>
          <w:szCs w:val="32"/>
        </w:rPr>
      </w:pPr>
    </w:p>
    <w:p>
      <w:pPr>
        <w:pStyle w:val="12"/>
        <w:rPr>
          <w:rFonts w:hint="eastAsia" w:eastAsia="仿宋_GB2312"/>
          <w:sz w:val="32"/>
          <w:szCs w:val="32"/>
        </w:rPr>
      </w:pPr>
    </w:p>
    <w:p>
      <w:pPr>
        <w:pStyle w:val="12"/>
        <w:rPr>
          <w:rFonts w:hint="eastAsia" w:eastAsia="仿宋_GB2312"/>
          <w:sz w:val="32"/>
          <w:szCs w:val="32"/>
        </w:rPr>
      </w:pPr>
    </w:p>
    <w:p>
      <w:pPr>
        <w:pStyle w:val="12"/>
        <w:rPr>
          <w:rFonts w:hint="eastAsia" w:eastAsia="仿宋_GB2312"/>
          <w:sz w:val="32"/>
          <w:szCs w:val="32"/>
        </w:rPr>
        <w:sectPr>
          <w:pgSz w:w="11906" w:h="16838"/>
          <w:pgMar w:top="1588" w:right="1588" w:bottom="1588" w:left="1588" w:header="851" w:footer="992" w:gutter="0"/>
          <w:pgNumType w:start="1"/>
          <w:cols w:space="720" w:num="1"/>
          <w:titlePg/>
          <w:docGrid w:type="linesAndChars" w:linePitch="602" w:charSpace="-782"/>
        </w:sectPr>
      </w:pPr>
    </w:p>
    <w:p/>
    <w:p>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center"/>
        <w:textAlignment w:val="auto"/>
        <w:outlineLvl w:val="0"/>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整体支出绩效自评表</w:t>
      </w:r>
    </w:p>
    <w:tbl>
      <w:tblPr>
        <w:tblStyle w:val="7"/>
        <w:tblW w:w="537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24"/>
        <w:gridCol w:w="856"/>
        <w:gridCol w:w="887"/>
        <w:gridCol w:w="412"/>
        <w:gridCol w:w="913"/>
        <w:gridCol w:w="575"/>
        <w:gridCol w:w="478"/>
        <w:gridCol w:w="797"/>
        <w:gridCol w:w="153"/>
        <w:gridCol w:w="697"/>
        <w:gridCol w:w="647"/>
        <w:gridCol w:w="53"/>
        <w:gridCol w:w="952"/>
        <w:gridCol w:w="1096"/>
        <w:gridCol w:w="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764" w:hRule="atLeast"/>
        </w:trPr>
        <w:tc>
          <w:tcPr>
            <w:tcW w:w="80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预算部门名称</w:t>
            </w:r>
          </w:p>
        </w:tc>
        <w:tc>
          <w:tcPr>
            <w:tcW w:w="4180" w:type="pct"/>
            <w:gridSpan w:val="1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eastAsia="仿宋_GB2312"/>
                <w:kern w:val="0"/>
                <w:sz w:val="24"/>
                <w:lang w:val="en-US" w:eastAsia="zh-CN"/>
              </w:rPr>
              <w:t>岳阳市云溪区人民代表大会常务委员会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11" w:type="pct"/>
          <w:trHeight w:val="480" w:hRule="atLeast"/>
        </w:trPr>
        <w:tc>
          <w:tcPr>
            <w:tcW w:w="807"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i w:val="0"/>
                <w:iCs w:val="0"/>
                <w:color w:val="000000"/>
                <w:kern w:val="0"/>
                <w:sz w:val="20"/>
                <w:szCs w:val="20"/>
                <w:u w:val="none"/>
                <w:lang w:val="en-US" w:eastAsia="zh-CN" w:bidi="ar"/>
              </w:rPr>
              <w:t>年度预算申请</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(万元)</w:t>
            </w:r>
          </w:p>
        </w:tc>
        <w:tc>
          <w:tcPr>
            <w:tcW w:w="708"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9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年初预算数(万元)</w:t>
            </w:r>
          </w:p>
        </w:tc>
        <w:tc>
          <w:tcPr>
            <w:tcW w:w="574"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全年预算数（万元）</w:t>
            </w:r>
          </w:p>
        </w:tc>
        <w:tc>
          <w:tcPr>
            <w:tcW w:w="518"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全年执行数（万元）</w:t>
            </w:r>
          </w:p>
        </w:tc>
        <w:tc>
          <w:tcPr>
            <w:tcW w:w="73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分值</w:t>
            </w:r>
          </w:p>
        </w:tc>
        <w:tc>
          <w:tcPr>
            <w:tcW w:w="54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执行率</w:t>
            </w:r>
          </w:p>
        </w:tc>
        <w:tc>
          <w:tcPr>
            <w:tcW w:w="59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576"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0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年度资金总额：</w:t>
            </w:r>
          </w:p>
        </w:tc>
        <w:tc>
          <w:tcPr>
            <w:tcW w:w="49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791.36</w:t>
            </w:r>
          </w:p>
        </w:tc>
        <w:tc>
          <w:tcPr>
            <w:tcW w:w="574"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877.49</w:t>
            </w:r>
          </w:p>
        </w:tc>
        <w:tc>
          <w:tcPr>
            <w:tcW w:w="51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877.49</w:t>
            </w:r>
          </w:p>
        </w:tc>
        <w:tc>
          <w:tcPr>
            <w:tcW w:w="73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10</w:t>
            </w:r>
          </w:p>
        </w:tc>
        <w:tc>
          <w:tcPr>
            <w:tcW w:w="54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100.00%</w:t>
            </w:r>
          </w:p>
        </w:tc>
        <w:tc>
          <w:tcPr>
            <w:tcW w:w="59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534"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2300" w:type="pct"/>
            <w:gridSpan w:val="7"/>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按收入性质分：</w:t>
            </w:r>
          </w:p>
        </w:tc>
        <w:tc>
          <w:tcPr>
            <w:tcW w:w="1880" w:type="pct"/>
            <w:gridSpan w:val="5"/>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按支出性质分：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744"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0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一般公共预算：</w:t>
            </w:r>
          </w:p>
        </w:tc>
        <w:tc>
          <w:tcPr>
            <w:tcW w:w="1591" w:type="pct"/>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1917.27</w:t>
            </w:r>
          </w:p>
        </w:tc>
        <w:tc>
          <w:tcPr>
            <w:tcW w:w="733"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其中:基本支出：</w:t>
            </w:r>
          </w:p>
        </w:tc>
        <w:tc>
          <w:tcPr>
            <w:tcW w:w="1146" w:type="pct"/>
            <w:gridSpan w:val="3"/>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1284.93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528"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0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政府性基金拨款：</w:t>
            </w:r>
          </w:p>
        </w:tc>
        <w:tc>
          <w:tcPr>
            <w:tcW w:w="1591" w:type="pct"/>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0.00</w:t>
            </w:r>
          </w:p>
        </w:tc>
        <w:tc>
          <w:tcPr>
            <w:tcW w:w="733"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1146" w:type="pct"/>
            <w:gridSpan w:val="3"/>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11" w:type="pct"/>
          <w:trHeight w:val="552"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0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纳入专户管理的非税收入拨款：</w:t>
            </w:r>
          </w:p>
        </w:tc>
        <w:tc>
          <w:tcPr>
            <w:tcW w:w="1591" w:type="pct"/>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0.00</w:t>
            </w:r>
          </w:p>
        </w:tc>
        <w:tc>
          <w:tcPr>
            <w:tcW w:w="733"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项目支出：</w:t>
            </w:r>
          </w:p>
        </w:tc>
        <w:tc>
          <w:tcPr>
            <w:tcW w:w="1146" w:type="pct"/>
            <w:gridSpan w:val="3"/>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718.22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11" w:type="pct"/>
          <w:trHeight w:val="708"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0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其他资金</w:t>
            </w:r>
          </w:p>
        </w:tc>
        <w:tc>
          <w:tcPr>
            <w:tcW w:w="1591" w:type="pct"/>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85.88</w:t>
            </w:r>
          </w:p>
        </w:tc>
        <w:tc>
          <w:tcPr>
            <w:tcW w:w="733"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1146" w:type="pct"/>
            <w:gridSpan w:val="3"/>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672" w:hRule="atLeast"/>
        </w:trPr>
        <w:tc>
          <w:tcPr>
            <w:tcW w:w="807"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年度总体目标</w:t>
            </w:r>
          </w:p>
        </w:tc>
        <w:tc>
          <w:tcPr>
            <w:tcW w:w="2300" w:type="pct"/>
            <w:gridSpan w:val="7"/>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预期目标</w:t>
            </w:r>
          </w:p>
        </w:tc>
        <w:tc>
          <w:tcPr>
            <w:tcW w:w="1880" w:type="pct"/>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实际完成情况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720"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2300" w:type="pct"/>
            <w:gridSpan w:val="7"/>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i w:val="0"/>
                <w:iCs w:val="0"/>
                <w:color w:val="000000"/>
                <w:kern w:val="0"/>
                <w:sz w:val="20"/>
                <w:szCs w:val="20"/>
                <w:u w:val="none"/>
                <w:lang w:val="en-US" w:eastAsia="zh-CN" w:bidi="ar"/>
              </w:rPr>
              <w:t>目标一：做好2023年区六届人大三次会议的会务工作，保障会议顺利召开。</w:t>
            </w:r>
          </w:p>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i w:val="0"/>
                <w:iCs w:val="0"/>
                <w:color w:val="000000"/>
                <w:kern w:val="0"/>
                <w:sz w:val="20"/>
                <w:szCs w:val="20"/>
                <w:u w:val="none"/>
                <w:lang w:val="en-US" w:eastAsia="zh-CN" w:bidi="ar"/>
              </w:rPr>
              <w:t>目标二：推进城乡社区治理工作。</w:t>
            </w:r>
          </w:p>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i w:val="0"/>
                <w:iCs w:val="0"/>
                <w:color w:val="000000"/>
                <w:kern w:val="0"/>
                <w:sz w:val="20"/>
                <w:szCs w:val="20"/>
                <w:u w:val="none"/>
                <w:lang w:val="en-US" w:eastAsia="zh-CN" w:bidi="ar"/>
              </w:rPr>
              <w:t>目标三：联系服务群众，宣传党的路线方针政策，传递社情民意，促进基层社会治理。</w:t>
            </w:r>
          </w:p>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目标四：加快推进人大预算审查监督平台建设。</w:t>
            </w:r>
          </w:p>
        </w:tc>
        <w:tc>
          <w:tcPr>
            <w:tcW w:w="1880" w:type="pct"/>
            <w:gridSpan w:val="5"/>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已完成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09" w:hRule="atLeast"/>
        </w:trPr>
        <w:tc>
          <w:tcPr>
            <w:tcW w:w="340"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绩效指标</w:t>
            </w:r>
          </w:p>
        </w:tc>
        <w:tc>
          <w:tcPr>
            <w:tcW w:w="467"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一级指标</w:t>
            </w:r>
          </w:p>
        </w:tc>
        <w:tc>
          <w:tcPr>
            <w:tcW w:w="484"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二级指标</w:t>
            </w:r>
          </w:p>
        </w:tc>
        <w:tc>
          <w:tcPr>
            <w:tcW w:w="1037" w:type="pct"/>
            <w:gridSpan w:val="3"/>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三级指标</w:t>
            </w:r>
          </w:p>
        </w:tc>
        <w:tc>
          <w:tcPr>
            <w:tcW w:w="695"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年度指标值</w:t>
            </w:r>
          </w:p>
        </w:tc>
        <w:tc>
          <w:tcPr>
            <w:tcW w:w="463"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实际完成值</w:t>
            </w:r>
          </w:p>
        </w:tc>
        <w:tc>
          <w:tcPr>
            <w:tcW w:w="382"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分值</w:t>
            </w:r>
          </w:p>
        </w:tc>
        <w:tc>
          <w:tcPr>
            <w:tcW w:w="519"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得分</w:t>
            </w:r>
          </w:p>
        </w:tc>
        <w:tc>
          <w:tcPr>
            <w:tcW w:w="609" w:type="pct"/>
            <w:gridSpan w:val="2"/>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偏差原因分析及改进措施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9" w:hRule="atLeast"/>
        </w:trPr>
        <w:tc>
          <w:tcPr>
            <w:tcW w:w="340"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67"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84" w:type="pct"/>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c>
          <w:tcPr>
            <w:tcW w:w="1037" w:type="pct"/>
            <w:gridSpan w:val="3"/>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695"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63"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382"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519"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609" w:type="pct"/>
            <w:gridSpan w:val="2"/>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340" w:type="pct"/>
            <w:vMerge w:val="restart"/>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绩效指标</w:t>
            </w:r>
          </w:p>
        </w:tc>
        <w:tc>
          <w:tcPr>
            <w:tcW w:w="467"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产出指标</w:t>
            </w:r>
          </w:p>
        </w:tc>
        <w:tc>
          <w:tcPr>
            <w:tcW w:w="484"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数量指标</w:t>
            </w:r>
          </w:p>
        </w:tc>
        <w:tc>
          <w:tcPr>
            <w:tcW w:w="103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召开区人大常委会会议</w:t>
            </w:r>
          </w:p>
        </w:tc>
        <w:tc>
          <w:tcPr>
            <w:tcW w:w="695"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7次</w:t>
            </w:r>
          </w:p>
        </w:tc>
        <w:tc>
          <w:tcPr>
            <w:tcW w:w="46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7次</w:t>
            </w:r>
          </w:p>
        </w:tc>
        <w:tc>
          <w:tcPr>
            <w:tcW w:w="38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2</w:t>
            </w:r>
          </w:p>
        </w:tc>
        <w:tc>
          <w:tcPr>
            <w:tcW w:w="51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2</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103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召开主任会议</w:t>
            </w:r>
          </w:p>
        </w:tc>
        <w:tc>
          <w:tcPr>
            <w:tcW w:w="695"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13次</w:t>
            </w:r>
          </w:p>
        </w:tc>
        <w:tc>
          <w:tcPr>
            <w:tcW w:w="46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13次</w:t>
            </w:r>
          </w:p>
        </w:tc>
        <w:tc>
          <w:tcPr>
            <w:tcW w:w="38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3</w:t>
            </w:r>
          </w:p>
        </w:tc>
        <w:tc>
          <w:tcPr>
            <w:tcW w:w="51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3</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103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开展单位工作评议</w:t>
            </w:r>
          </w:p>
        </w:tc>
        <w:tc>
          <w:tcPr>
            <w:tcW w:w="695"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9个</w:t>
            </w:r>
          </w:p>
        </w:tc>
        <w:tc>
          <w:tcPr>
            <w:tcW w:w="46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9个</w:t>
            </w:r>
          </w:p>
        </w:tc>
        <w:tc>
          <w:tcPr>
            <w:tcW w:w="38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5</w:t>
            </w:r>
          </w:p>
        </w:tc>
        <w:tc>
          <w:tcPr>
            <w:tcW w:w="51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5</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103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配合省市人大开展执法检查</w:t>
            </w:r>
          </w:p>
        </w:tc>
        <w:tc>
          <w:tcPr>
            <w:tcW w:w="695"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9次</w:t>
            </w:r>
          </w:p>
        </w:tc>
        <w:tc>
          <w:tcPr>
            <w:tcW w:w="46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9次</w:t>
            </w:r>
          </w:p>
        </w:tc>
        <w:tc>
          <w:tcPr>
            <w:tcW w:w="38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5</w:t>
            </w:r>
          </w:p>
        </w:tc>
        <w:tc>
          <w:tcPr>
            <w:tcW w:w="51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5</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103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督办代表建议</w:t>
            </w:r>
          </w:p>
        </w:tc>
        <w:tc>
          <w:tcPr>
            <w:tcW w:w="695"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57件</w:t>
            </w:r>
          </w:p>
        </w:tc>
        <w:tc>
          <w:tcPr>
            <w:tcW w:w="463"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57件</w:t>
            </w:r>
          </w:p>
        </w:tc>
        <w:tc>
          <w:tcPr>
            <w:tcW w:w="382"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5</w:t>
            </w:r>
          </w:p>
        </w:tc>
        <w:tc>
          <w:tcPr>
            <w:tcW w:w="51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5</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质量指标</w:t>
            </w:r>
          </w:p>
        </w:tc>
        <w:tc>
          <w:tcPr>
            <w:tcW w:w="1900"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代表履行自身职责，特别是收集社会民意、提出建议意见，促进全区经济社会全面和谐发展。</w:t>
            </w:r>
          </w:p>
        </w:tc>
        <w:tc>
          <w:tcPr>
            <w:tcW w:w="1275"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w:t>
            </w:r>
          </w:p>
        </w:tc>
        <w:tc>
          <w:tcPr>
            <w:tcW w:w="85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w:t>
            </w:r>
          </w:p>
        </w:tc>
        <w:tc>
          <w:tcPr>
            <w:tcW w:w="70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5</w:t>
            </w:r>
          </w:p>
        </w:tc>
        <w:tc>
          <w:tcPr>
            <w:tcW w:w="95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5</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vMerge w:val="continue"/>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0"/>
                <w:szCs w:val="20"/>
                <w:u w:val="none"/>
                <w:lang w:val="en-US" w:eastAsia="zh-CN" w:bidi="ar"/>
              </w:rPr>
            </w:pPr>
          </w:p>
        </w:tc>
        <w:tc>
          <w:tcPr>
            <w:tcW w:w="1900"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工作任务完成率</w:t>
            </w:r>
          </w:p>
        </w:tc>
        <w:tc>
          <w:tcPr>
            <w:tcW w:w="1275"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100%</w:t>
            </w:r>
          </w:p>
        </w:tc>
        <w:tc>
          <w:tcPr>
            <w:tcW w:w="85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100%</w:t>
            </w:r>
          </w:p>
        </w:tc>
        <w:tc>
          <w:tcPr>
            <w:tcW w:w="70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5</w:t>
            </w:r>
          </w:p>
        </w:tc>
        <w:tc>
          <w:tcPr>
            <w:tcW w:w="95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default" w:ascii="仿宋_GB2312" w:hAnsi="宋体" w:eastAsia="仿宋_GB2312" w:cs="仿宋_GB2312"/>
                <w:i w:val="0"/>
                <w:iCs w:val="0"/>
                <w:color w:val="000000"/>
                <w:kern w:val="0"/>
                <w:sz w:val="20"/>
                <w:szCs w:val="20"/>
                <w:u w:val="none"/>
                <w:lang w:val="en-US" w:eastAsia="zh-CN" w:bidi="ar"/>
              </w:rPr>
              <w:t>5</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时效指标</w:t>
            </w:r>
          </w:p>
        </w:tc>
        <w:tc>
          <w:tcPr>
            <w:tcW w:w="1900"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任务完成及时率</w:t>
            </w:r>
          </w:p>
        </w:tc>
        <w:tc>
          <w:tcPr>
            <w:tcW w:w="1275"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w:t>
            </w:r>
          </w:p>
        </w:tc>
        <w:tc>
          <w:tcPr>
            <w:tcW w:w="85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100%</w:t>
            </w:r>
          </w:p>
        </w:tc>
        <w:tc>
          <w:tcPr>
            <w:tcW w:w="70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952" w:type="dxa"/>
            <w:tcBorders>
              <w:tl2br w:val="nil"/>
              <w:tr2bl w:val="nil"/>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sz w:val="20"/>
                <w:szCs w:val="20"/>
                <w:u w:val="none"/>
                <w:lang w:val="en-US"/>
              </w:rPr>
            </w:pPr>
            <w:r>
              <w:rPr>
                <w:rFonts w:hint="eastAsia" w:ascii="仿宋" w:hAnsi="仿宋" w:eastAsia="仿宋" w:cs="仿宋"/>
                <w:i w:val="0"/>
                <w:iCs w:val="0"/>
                <w:color w:val="000000"/>
                <w:kern w:val="0"/>
                <w:sz w:val="20"/>
                <w:szCs w:val="20"/>
                <w:u w:val="none"/>
                <w:lang w:val="en-US" w:eastAsia="zh-CN" w:bidi="ar"/>
              </w:rPr>
              <w:t>10</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效益指标</w:t>
            </w: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经济效益指标</w:t>
            </w:r>
          </w:p>
        </w:tc>
        <w:tc>
          <w:tcPr>
            <w:tcW w:w="1900"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助力云溪争创全省科技创新型区，以创新驱动赋能经济高质量发展。</w:t>
            </w:r>
          </w:p>
        </w:tc>
        <w:tc>
          <w:tcPr>
            <w:tcW w:w="1275"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助力</w:t>
            </w:r>
          </w:p>
        </w:tc>
        <w:tc>
          <w:tcPr>
            <w:tcW w:w="85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助力</w:t>
            </w:r>
          </w:p>
        </w:tc>
        <w:tc>
          <w:tcPr>
            <w:tcW w:w="70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95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社会效益指标</w:t>
            </w:r>
          </w:p>
        </w:tc>
        <w:tc>
          <w:tcPr>
            <w:tcW w:w="1900"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提升行政执法质量</w:t>
            </w:r>
          </w:p>
        </w:tc>
        <w:tc>
          <w:tcPr>
            <w:tcW w:w="1275"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提升</w:t>
            </w:r>
          </w:p>
        </w:tc>
        <w:tc>
          <w:tcPr>
            <w:tcW w:w="85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提升</w:t>
            </w:r>
          </w:p>
        </w:tc>
        <w:tc>
          <w:tcPr>
            <w:tcW w:w="70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95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生态效益指标</w:t>
            </w:r>
          </w:p>
        </w:tc>
        <w:tc>
          <w:tcPr>
            <w:tcW w:w="1900"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促进文化旅游资源保护、开发和利用。</w:t>
            </w:r>
          </w:p>
        </w:tc>
        <w:tc>
          <w:tcPr>
            <w:tcW w:w="1275"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促进</w:t>
            </w:r>
          </w:p>
        </w:tc>
        <w:tc>
          <w:tcPr>
            <w:tcW w:w="85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促进</w:t>
            </w:r>
          </w:p>
        </w:tc>
        <w:tc>
          <w:tcPr>
            <w:tcW w:w="70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95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可持续影响指标</w:t>
            </w:r>
          </w:p>
        </w:tc>
        <w:tc>
          <w:tcPr>
            <w:tcW w:w="1037"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5"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63"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382"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519" w:type="pct"/>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满意度指标</w:t>
            </w: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服务对象满意度指标</w:t>
            </w:r>
          </w:p>
        </w:tc>
        <w:tc>
          <w:tcPr>
            <w:tcW w:w="1900"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群众满意度</w:t>
            </w:r>
          </w:p>
        </w:tc>
        <w:tc>
          <w:tcPr>
            <w:tcW w:w="1275"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≥90%</w:t>
            </w:r>
          </w:p>
        </w:tc>
        <w:tc>
          <w:tcPr>
            <w:tcW w:w="85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98%</w:t>
            </w:r>
          </w:p>
        </w:tc>
        <w:tc>
          <w:tcPr>
            <w:tcW w:w="70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95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成本指标</w:t>
            </w: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经济成本指标</w:t>
            </w:r>
          </w:p>
        </w:tc>
        <w:tc>
          <w:tcPr>
            <w:tcW w:w="1900" w:type="dxa"/>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整体支出成本</w:t>
            </w:r>
          </w:p>
        </w:tc>
        <w:tc>
          <w:tcPr>
            <w:tcW w:w="1275"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≤877.49万元</w:t>
            </w:r>
          </w:p>
        </w:tc>
        <w:tc>
          <w:tcPr>
            <w:tcW w:w="85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877.49万元</w:t>
            </w:r>
          </w:p>
        </w:tc>
        <w:tc>
          <w:tcPr>
            <w:tcW w:w="70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95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default" w:ascii="仿宋_GB2312" w:hAnsi="宋体" w:eastAsia="仿宋_GB2312" w:cs="仿宋_GB2312"/>
                <w:i w:val="0"/>
                <w:iCs w:val="0"/>
                <w:color w:val="000000"/>
                <w:kern w:val="0"/>
                <w:sz w:val="20"/>
                <w:szCs w:val="20"/>
                <w:u w:val="none"/>
                <w:lang w:val="en-US" w:eastAsia="zh-CN" w:bidi="ar"/>
              </w:rPr>
              <w:t>10</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社会成本指标</w:t>
            </w:r>
          </w:p>
        </w:tc>
        <w:tc>
          <w:tcPr>
            <w:tcW w:w="1037"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5"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63"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382"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519" w:type="pct"/>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生态环境成本指标</w:t>
            </w:r>
          </w:p>
        </w:tc>
        <w:tc>
          <w:tcPr>
            <w:tcW w:w="1037"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5"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63"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382"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519" w:type="pct"/>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1291"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color w:val="000000"/>
                <w:sz w:val="18"/>
                <w:szCs w:val="18"/>
              </w:rPr>
              <w:t>绩效自评综合得分</w:t>
            </w:r>
          </w:p>
        </w:tc>
        <w:tc>
          <w:tcPr>
            <w:tcW w:w="3708" w:type="pct"/>
            <w:gridSpan w:val="12"/>
            <w:tcBorders>
              <w:tl2br w:val="nil"/>
              <w:tr2bl w:val="nil"/>
            </w:tcBorders>
            <w:shd w:val="clear" w:color="auto" w:fill="auto"/>
            <w:vAlign w:val="center"/>
          </w:tcPr>
          <w:p>
            <w:pPr>
              <w:jc w:val="center"/>
              <w:rPr>
                <w:rFonts w:hint="default" w:ascii="仿宋_GB2312" w:hAnsi="仿宋_GB2312" w:eastAsia="仿宋_GB2312" w:cs="仿宋_GB2312"/>
                <w:i w:val="0"/>
                <w:iCs w:val="0"/>
                <w:color w:val="000000"/>
                <w:sz w:val="20"/>
                <w:szCs w:val="20"/>
                <w:u w:val="none"/>
                <w:lang w:val="en-US" w:eastAsia="zh-CN"/>
              </w:rPr>
            </w:pPr>
            <w:r>
              <w:rPr>
                <w:rFonts w:hint="eastAsia" w:ascii="仿宋_GB2312" w:hAnsi="仿宋_GB2312" w:eastAsia="仿宋_GB2312" w:cs="仿宋_GB2312"/>
                <w:i w:val="0"/>
                <w:iCs w:val="0"/>
                <w:color w:val="000000"/>
                <w:sz w:val="20"/>
                <w:szCs w:val="20"/>
                <w:u w:val="none"/>
                <w:lang w:val="en-US" w:eastAsia="zh-CN"/>
              </w:rPr>
              <w:t>100分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1291"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color w:val="000000"/>
                <w:sz w:val="18"/>
                <w:szCs w:val="18"/>
              </w:rPr>
              <w:t>评价等次</w:t>
            </w:r>
          </w:p>
        </w:tc>
        <w:tc>
          <w:tcPr>
            <w:tcW w:w="3708" w:type="pct"/>
            <w:gridSpan w:val="1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r>
    </w:tbl>
    <w:p>
      <w:pPr>
        <w:pStyle w:val="10"/>
      </w:pPr>
    </w:p>
    <w:p>
      <w:pPr>
        <w:pStyle w:val="10"/>
      </w:pPr>
    </w:p>
    <w:p>
      <w:pPr>
        <w:pStyle w:val="10"/>
      </w:pPr>
    </w:p>
    <w:p>
      <w:pPr>
        <w:pStyle w:val="10"/>
        <w:ind w:left="0" w:leftChars="0" w:firstLine="0" w:firstLineChars="0"/>
      </w:pPr>
    </w:p>
    <w:tbl>
      <w:tblPr>
        <w:tblStyle w:val="7"/>
        <w:tblW w:w="9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5" w:type="dxa"/>
          <w:bottom w:w="0" w:type="dxa"/>
          <w:right w:w="15" w:type="dxa"/>
        </w:tblCellMar>
      </w:tblPr>
      <w:tblGrid>
        <w:gridCol w:w="1654"/>
        <w:gridCol w:w="3561"/>
        <w:gridCol w:w="1479"/>
        <w:gridCol w:w="3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黑体" w:hAnsi="黑体" w:eastAsia="黑体" w:cs="黑体"/>
                <w:color w:val="000000"/>
                <w:sz w:val="28"/>
                <w:szCs w:val="28"/>
              </w:rPr>
              <w:t>四、评价人员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67"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姓  名</w:t>
            </w: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职务/职称</w:t>
            </w: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单  位</w:t>
            </w: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签  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李建华 </w:t>
            </w: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rPr>
              <w:t>区人大常委会办公室主任</w:t>
            </w: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冯鹏轩</w:t>
            </w: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区人大常委会办公室信心中心主任</w:t>
            </w: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46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评价组组长（签字）：</w:t>
            </w: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19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部门（单位）意见：</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部门（单位）负责人（签章）：</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560" w:hRule="atLeast"/>
          <w:jc w:val="center"/>
        </w:trPr>
        <w:tc>
          <w:tcPr>
            <w:tcW w:w="9800" w:type="dxa"/>
            <w:gridSpan w:val="4"/>
            <w:noWrap w:val="0"/>
            <w:vAlign w:val="center"/>
          </w:tcPr>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财政部门归口业务股室意见：</w:t>
            </w: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 xml:space="preserve">                                  财政部门归口业务股室负责人（签章）：</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eastAsia="仿宋_GB2312"/>
                <w:sz w:val="24"/>
              </w:rPr>
              <w:t xml:space="preserve">                                                                 年    月   日</w:t>
            </w:r>
          </w:p>
        </w:tc>
      </w:tr>
    </w:tbl>
    <w:p>
      <w:pPr>
        <w:pStyle w:val="10"/>
        <w:sectPr>
          <w:pgSz w:w="11906" w:h="16838"/>
          <w:pgMar w:top="1440" w:right="1800" w:bottom="1440" w:left="1800" w:header="851" w:footer="992" w:gutter="0"/>
          <w:cols w:space="425" w:num="1"/>
          <w:docGrid w:type="lines" w:linePitch="312" w:charSpace="0"/>
        </w:sectPr>
      </w:pPr>
      <w:r>
        <w:rPr>
          <w:rFonts w:hint="eastAsia" w:eastAsia="仿宋_GB2312" w:cs="仿宋_GB2312"/>
          <w:bCs/>
          <w:sz w:val="28"/>
          <w:szCs w:val="28"/>
        </w:rPr>
        <w:t>填报人（签名）：                          联系电话：</w:t>
      </w:r>
    </w:p>
    <w:p>
      <w:pPr>
        <w:bidi w:val="0"/>
        <w:rPr>
          <w:rFonts w:hint="default"/>
          <w:lang w:val="en-US" w:eastAsia="zh-CN"/>
        </w:rPr>
      </w:pPr>
      <w:r>
        <w:rPr>
          <w:rFonts w:hint="eastAsia"/>
          <w:lang w:val="en-US" w:eastAsia="zh-CN"/>
        </w:rPr>
        <w:t>附件1</w:t>
      </w:r>
    </w:p>
    <w:p>
      <w:pPr>
        <w:bidi w:val="0"/>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t>岳阳市云溪区人民代表大会常务委员会</w:t>
      </w:r>
    </w:p>
    <w:p>
      <w:pPr>
        <w:bidi w:val="0"/>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t>部门整体支出绩效自评报告</w:t>
      </w:r>
    </w:p>
    <w:p>
      <w:pPr>
        <w:bidi w:val="0"/>
      </w:pPr>
    </w:p>
    <w:p>
      <w:pPr>
        <w:pStyle w:val="2"/>
        <w:bidi w:val="0"/>
        <w:rPr>
          <w:rFonts w:hint="eastAsia"/>
        </w:rPr>
      </w:pPr>
      <w:r>
        <w:rPr>
          <w:rFonts w:hint="eastAsia"/>
        </w:rPr>
        <w:t>一、部门（单位）概况</w:t>
      </w:r>
    </w:p>
    <w:p>
      <w:pPr>
        <w:pStyle w:val="3"/>
        <w:bidi w:val="0"/>
        <w:rPr>
          <w:rFonts w:hint="default"/>
        </w:rPr>
      </w:pPr>
      <w:r>
        <w:rPr>
          <w:rFonts w:hint="default"/>
        </w:rPr>
        <w:t>（一）机构设置情况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楷体_GB2312" w:eastAsia="楷体_GB2312" w:cs="楷体_GB2312"/>
          <w:i w:val="0"/>
          <w:iCs w:val="0"/>
          <w:caps w:val="0"/>
          <w:color w:val="000000"/>
          <w:spacing w:val="0"/>
          <w:sz w:val="32"/>
          <w:szCs w:val="32"/>
          <w:shd w:val="clear" w:fill="FFFFFF"/>
        </w:rPr>
      </w:pPr>
      <w:r>
        <w:rPr>
          <w:rFonts w:hint="eastAsia" w:ascii="仿宋_GB2312" w:hAnsi="仿宋_GB2312" w:eastAsia="仿宋_GB2312" w:cs="仿宋_GB2312"/>
          <w:b w:val="0"/>
          <w:bCs w:val="0"/>
          <w:color w:val="auto"/>
          <w:sz w:val="32"/>
          <w:szCs w:val="32"/>
          <w:lang w:val="en-US" w:eastAsia="zh-CN"/>
        </w:rPr>
        <w:t>岳阳市云溪区人民代表大会常务委员会现有专门委员会6个，分别是监察和司法委员会、财政经济委员会、教育科学文化卫生委员会、农业与农村委员会、环境与资源保护委员会、社会建设委员会，其中监察和司法委员会与法制工作委员会、财政经济委员会与常委会预算工作委员会、教育科学文化卫生委员会与民族华侨外事委员会合署办公。常委会设有工作机构2个，为办公室和选举任免联络工作委员会</w:t>
      </w:r>
      <w:r>
        <w:rPr>
          <w:rFonts w:hint="eastAsia" w:ascii="仿宋_GB2312" w:hAnsi="仿宋_GB2312" w:eastAsia="仿宋_GB2312" w:cs="仿宋_GB2312"/>
          <w:sz w:val="32"/>
          <w:szCs w:val="32"/>
          <w:lang w:eastAsia="zh-CN"/>
        </w:rPr>
        <w:t>。</w:t>
      </w:r>
    </w:p>
    <w:p>
      <w:pPr>
        <w:pStyle w:val="3"/>
        <w:bidi w:val="0"/>
        <w:rPr>
          <w:rFonts w:hint="default"/>
        </w:rPr>
      </w:pPr>
      <w:r>
        <w:rPr>
          <w:rFonts w:hint="eastAsia"/>
          <w:lang w:eastAsia="zh-CN"/>
        </w:rPr>
        <w:t>（</w:t>
      </w:r>
      <w:r>
        <w:rPr>
          <w:rFonts w:hint="eastAsia"/>
          <w:lang w:val="en-US" w:eastAsia="zh-CN"/>
        </w:rPr>
        <w:t>二</w:t>
      </w:r>
      <w:r>
        <w:rPr>
          <w:rFonts w:hint="eastAsia"/>
          <w:lang w:eastAsia="zh-CN"/>
        </w:rPr>
        <w:t>）</w:t>
      </w:r>
      <w:r>
        <w:rPr>
          <w:rFonts w:hint="default"/>
        </w:rPr>
        <w:t>人员编制情况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2023年末实有人数31人，其中行政人员30人，事业人员1人。</w:t>
      </w:r>
    </w:p>
    <w:p>
      <w:pPr>
        <w:pStyle w:val="3"/>
        <w:bidi w:val="0"/>
        <w:rPr>
          <w:rFonts w:hint="default"/>
        </w:rPr>
      </w:pPr>
      <w:r>
        <w:rPr>
          <w:rFonts w:hint="eastAsia"/>
          <w:lang w:eastAsia="zh-CN"/>
        </w:rPr>
        <w:t>（</w:t>
      </w:r>
      <w:r>
        <w:rPr>
          <w:rFonts w:hint="eastAsia"/>
          <w:lang w:val="en-US" w:eastAsia="zh-CN"/>
        </w:rPr>
        <w:t>三</w:t>
      </w:r>
      <w:r>
        <w:rPr>
          <w:rFonts w:hint="eastAsia"/>
          <w:lang w:eastAsia="zh-CN"/>
        </w:rPr>
        <w:t>）</w:t>
      </w:r>
      <w:r>
        <w:rPr>
          <w:rFonts w:hint="default"/>
        </w:rPr>
        <w:t>主要职能职责</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1.讨论、决定本行政区域内的重大事项。常委会讨论、决定的重大事项按《岳阳市云溪区人民代表大会常务委员会讨论、决定重大事项的规定》执行。</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常委会讨论重大事项后，作出决议、决定，或者将有关意见建议交相关机关和单位研究办理。</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2.在本行政区域内，保证宪法、法律、行政法规和上级人民代表大会及其常务委员会决议的遵守和执行。</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3.召集人民代表大会会议。</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4.审查和批准本区国民经济和社会发展规划纲要、计划和区级预算调整方案；监督区级国民经济和社会发展规划纲要、计划和预算执行，审查和批准区级决算，监督审计查出问题整改情况，审查监督政府债务；监督区人民政府对国有资产的管理，听取和审议区人民政府关于年度环境状况和环境保护目标完成情况报告；听取和审议备案审查工作情况报告。</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5.依法监督区人民政府、区监察委员会、区人民法院、区人民检察院的工作。监督的主要形式：</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（一）听取和审议专项工作报告，提出建议、批评和意见，必要时作出相应的决议、决定；</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（二）撤销严重违法乱纪和失职渎职的国家机关工作人员的职务；</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（三）组织特定问题调查委员会，并根据调查委员会的报告作出处理；</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（四）对区人民政府及其工作部门、区监察委员会、区人民法院、区人民检察院的工作情况进行评议；</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（五）对区人民政府副职领导及其工作部门主要负责人履职情况进行评议；</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（六）受理人民群众对上述机关和国家工作人员的申诉和意见，责成有关部门认真办理，限期报告办理结果；</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（七）在常委会会议期间，依照法律规定向上述国家机关提出询问和质询；</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（八）组织常委会组成人员、区人民代表大会代表视察工作；</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（九）检查宪法和法律法规的执行情况，督促有关机关对违法问题作出处理；</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（十）开展规范性文件备案审查。</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6.有权撤销本级人民政府制定的不适当的规范性文件、决定和命令；有权撤销镇人大作出的不适当的决议、决定。</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7.对审议、视察、检查、工作评议、履职评议中发现的突出问题实行跟踪督办。督办工作程序：</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（一）由常委会会议或主任会议审定督办事项，发出督办函；</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（二）由相关专门委员会、工作机构协调督办；</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（三）常委会会议或主任会议听取督办件的处理落实情况反馈。</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8.主持区人民代表大会代表的选举，指导镇人民代表大会代表的选举工作。</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根据需要，建议有关选举单位补选出缺的区人民代表大会代表，建议罢免个别区人民代表大会代表，决定个别区人民代表大会代表暂时停止执行代表职务。</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设立代表资格审查委员会，审查区人民代表大会代表资格，提请常委会确认。</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9.在区人民代表大会闭会期间接受代表辞职，补选市人民代表大会出缺的代表和罢免个别代表。</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常委会主任会议或者常委会五分之一以上组成人员联名，可以向常委会提出对由本区选出的市人民代表大会代表的罢免案。罢免案由主任会议决定提请常委会会议审议表决。</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10.常委会依法行使任免权：</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一）在区人民代表大会闭会期间，决定副区长的个别任免；在区人民政府区长、区监察委员会主任、区人民法院院长、区人民检察院检察长因故不能担任职务时，根据主任会议的提名，从上述机关的副职领导人员中决定代理人选；决定代理检察长，须报市人民检察院和市人大常委会备案；</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（二）根据主任会议提名，任免专门委员会的个别副主任委员、部分委员，任免常委会委室主任和副主任；</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（三）在区人民代表大会闭会期间，根据区长提名，决定区人民政府办公室主任、局长的任免，报市人民政府备案；</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（四）根据区监察委员会主任提名，任免区监察委员会副主任、委员；</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（五）根据区人民法院院长提名，任免副院长、庭长、副庭长、审判委员会委员、审判员；</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（六）根据区人民检察院检察长提名，任免副检察长、检察委员会委员、检察员。</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11.在区人民代表大会闭会期间，决定撤销个别副区长职务；决定撤销由区人大及其常委会选举任命的区人民政府其他组成人员和区监察委员会副主任、委员，区人民法院副院长、庭长、副庭长、审判委员会委员、审判员，区人民检察院副检察长、检察委员会委员、检察员的职务。</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12.在区人民代表大会闭会期间，决定接受区人大常委会组成人员、专门委员会组成人员、区人民政府领导人员，区监察委员会主任，区人民法院院长，区人民检察院检察长提出的辞职，并报区人民代表大会备案。决定接受区人民检察院检察长的辞职，须报经市人民检察院检察长提请市人大常委会批准。</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13.在区人民代表大会闭会期间，非经常委会许可，区人民代表大会代表不受逮捕或者刑事审判。如果因为是现行犯被拘留，执行拘留的机关应立即向常委会报告；如果采取法律规定的其他限制人身自由的措施，应当经常委会许可。</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default" w:ascii="仿宋_GB2312" w:hAnsi="仿宋_GB2312" w:eastAsia="仿宋_GB2312" w:cs="仿宋_GB2312"/>
          <w:b w:val="0"/>
          <w:bCs w:val="0"/>
          <w:color w:val="auto"/>
          <w:sz w:val="32"/>
          <w:szCs w:val="32"/>
          <w:lang w:val="en-US" w:eastAsia="zh-CN"/>
        </w:rPr>
        <w:t>14.根据主任会议或五分之一以上常委会组成人员联名提议，可以组织关于特定问题调查委员会。调查委员会由主任委员、副主任委员和委员组成。由主任会议在常委会组成人员和其他代表中提名，提请全体会议通过。调查委员会应当向常委会提出调查报告。常委会根据调查委员会的报告，可以做出相应的决议。</w:t>
      </w:r>
    </w:p>
    <w:p>
      <w:pPr>
        <w:pStyle w:val="3"/>
        <w:bidi w:val="0"/>
        <w:rPr>
          <w:rFonts w:hint="default"/>
          <w:lang w:val="en-US" w:eastAsia="zh-CN"/>
        </w:rPr>
      </w:pPr>
      <w:r>
        <w:rPr>
          <w:rFonts w:hint="eastAsia"/>
          <w:lang w:val="en-US" w:eastAsia="zh-CN"/>
        </w:rPr>
        <w:t>（四）</w:t>
      </w:r>
      <w:r>
        <w:rPr>
          <w:rFonts w:hint="default"/>
          <w:lang w:val="en-US" w:eastAsia="zh-CN"/>
        </w:rPr>
        <w:t>绩效目标设定情况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目标一：做好2023年区六届人大三次会议的会务工作，保障会议顺利召开。</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目标二：推进城乡社区治理工作。</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目标三：联系服务群众，宣传党的路线方针政策，传递社情民意，促进基层社会治理。</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目标四：加快推进人大预算审查监督平台建设。</w:t>
      </w:r>
    </w:p>
    <w:p>
      <w:pPr>
        <w:pStyle w:val="3"/>
        <w:numPr>
          <w:ilvl w:val="0"/>
          <w:numId w:val="1"/>
        </w:numPr>
        <w:bidi w:val="0"/>
        <w:rPr>
          <w:rFonts w:hint="eastAsia"/>
          <w:lang w:val="en-US" w:eastAsia="zh-CN"/>
        </w:rPr>
      </w:pPr>
      <w:r>
        <w:rPr>
          <w:rFonts w:hint="eastAsia"/>
          <w:lang w:val="en-US" w:eastAsia="zh-CN"/>
        </w:rPr>
        <w:t>一般公共预算支出情况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根据《会计法》《预算法》《行政单位财务规则》等法律和财政部及省财政厅有关财务规章的规定，明确了经费审批权限及程序，经费预算管理、财务经费管理、资产购置与处置、财务监督等。针对“三公”经费探索建立公用经费标准定额体系，开展公用经费使用监督和绩效评估，进一步落实厉行节约的各项规定，确保“三公经费”使用合理合规等。上述制度规定基本执行到位。</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2023年决算支出877.49万元，其中：基本支出713.46万元，项目支出164.03万元。</w:t>
      </w:r>
    </w:p>
    <w:p>
      <w:pPr>
        <w:pStyle w:val="4"/>
        <w:numPr>
          <w:ilvl w:val="0"/>
          <w:numId w:val="2"/>
        </w:numPr>
        <w:bidi w:val="0"/>
        <w:rPr>
          <w:rFonts w:hint="eastAsia"/>
          <w:b/>
          <w:bCs/>
          <w:lang w:val="en-US" w:eastAsia="zh-CN"/>
        </w:rPr>
      </w:pPr>
      <w:r>
        <w:rPr>
          <w:rFonts w:hint="eastAsia"/>
          <w:b/>
          <w:bCs/>
          <w:lang w:val="en-US" w:eastAsia="zh-CN"/>
        </w:rPr>
        <w:t>基本支出情况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lang w:val="en-US" w:eastAsia="zh-CN"/>
        </w:rPr>
      </w:pPr>
      <w:r>
        <w:rPr>
          <w:rFonts w:hint="eastAsia" w:ascii="仿宋_GB2312" w:hAnsi="仿宋_GB2312" w:eastAsia="仿宋_GB2312" w:cs="仿宋_GB2312"/>
          <w:b w:val="0"/>
          <w:bCs w:val="0"/>
          <w:color w:val="auto"/>
          <w:sz w:val="32"/>
          <w:szCs w:val="32"/>
          <w:lang w:val="en-US" w:eastAsia="zh-CN"/>
        </w:rPr>
        <w:t>基本支出用于为保障各部门、机构正常运转、完成日常工作任务而发生的支出，包括人员经费和公用经费。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sz w:val="32"/>
          <w:szCs w:val="32"/>
          <w:lang w:val="en-US" w:eastAsia="zh-CN"/>
        </w:rPr>
        <w:t>2023年全年基本支出713.46万元，其中：工资福利支出531.23万元、商品和服务支出99.91万元、对个人和家庭的补助58.04万元、债务利息及费用支出0万元、资本性支出0万元、其他支出0万元。</w:t>
      </w:r>
    </w:p>
    <w:p>
      <w:pPr>
        <w:keepNext w:val="0"/>
        <w:keepLines w:val="0"/>
        <w:pageBreakBefore w:val="0"/>
        <w:widowControl w:val="0"/>
        <w:numPr>
          <w:ilvl w:val="0"/>
          <w:numId w:val="2"/>
        </w:numPr>
        <w:kinsoku/>
        <w:wordWrap/>
        <w:overflowPunct/>
        <w:topLinePunct w:val="0"/>
        <w:autoSpaceDE/>
        <w:autoSpaceDN/>
        <w:bidi w:val="0"/>
        <w:adjustRightInd/>
        <w:snapToGrid/>
        <w:spacing w:beforeAutospacing="0" w:afterAutospacing="0" w:line="560" w:lineRule="exact"/>
        <w:ind w:left="0" w:leftChars="0" w:firstLine="643" w:firstLineChars="200"/>
        <w:textAlignment w:val="auto"/>
        <w:rPr>
          <w:rFonts w:hint="eastAsia" w:ascii="仿宋_GB2312" w:hAnsi="仿宋_GB2312" w:eastAsia="仿宋_GB2312" w:cs="仿宋_GB2312"/>
          <w:b/>
          <w:bCs/>
          <w:color w:val="auto"/>
          <w:kern w:val="2"/>
          <w:sz w:val="32"/>
          <w:szCs w:val="32"/>
          <w:lang w:val="en-US" w:eastAsia="zh-CN" w:bidi="ar-SA"/>
        </w:rPr>
      </w:pPr>
      <w:r>
        <w:rPr>
          <w:rFonts w:hint="eastAsia" w:ascii="仿宋_GB2312" w:hAnsi="仿宋_GB2312" w:eastAsia="仿宋_GB2312" w:cs="仿宋_GB2312"/>
          <w:b/>
          <w:bCs/>
          <w:color w:val="auto"/>
          <w:kern w:val="2"/>
          <w:sz w:val="32"/>
          <w:szCs w:val="32"/>
          <w:lang w:val="en-US" w:eastAsia="zh-CN" w:bidi="ar-SA"/>
        </w:rPr>
        <w:t>项目支出情况</w:t>
      </w:r>
    </w:p>
    <w:p>
      <w:pPr>
        <w:keepNext w:val="0"/>
        <w:keepLines w:val="0"/>
        <w:widowControl w:val="0"/>
        <w:suppressLineNumbers w:val="0"/>
        <w:spacing w:before="0" w:beforeLines="0" w:beforeAutospacing="0" w:after="0" w:afterLines="0" w:afterAutospacing="0" w:line="600" w:lineRule="exact"/>
        <w:ind w:left="0" w:right="0" w:firstLine="640" w:firstLineChars="200"/>
        <w:jc w:val="both"/>
        <w:rPr>
          <w:rFonts w:hint="eastAsia" w:ascii="仿宋_GB2312" w:hAnsi="仿宋_GB2312" w:eastAsia="仿宋_GB2312" w:cs="仿宋_GB2312"/>
          <w:b/>
          <w:bCs/>
          <w:color w:val="auto"/>
          <w:kern w:val="2"/>
          <w:sz w:val="32"/>
          <w:szCs w:val="32"/>
          <w:lang w:val="en-US" w:eastAsia="zh-CN" w:bidi="ar-SA"/>
        </w:rPr>
      </w:pPr>
      <w:r>
        <w:rPr>
          <w:rFonts w:hint="default" w:ascii="仿宋_GB2312" w:hAnsi="Calibri" w:eastAsia="仿宋_GB2312" w:cs="仿宋_GB2312"/>
          <w:kern w:val="2"/>
          <w:sz w:val="32"/>
          <w:szCs w:val="32"/>
          <w:lang w:val="en-US" w:eastAsia="zh-CN" w:bidi="ar"/>
        </w:rPr>
        <w:t>项目支出是在基本支出之外为完成其特定的工作任务而发生的支出，主要用于专项工作的运转和设备升级等。</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2023年项目经费支出</w:t>
      </w:r>
      <w:r>
        <w:rPr>
          <w:rFonts w:hint="eastAsia" w:ascii="仿宋_GB2312" w:hAnsi="仿宋_GB2312" w:eastAsia="仿宋_GB2312" w:cs="仿宋_GB2312"/>
          <w:b w:val="0"/>
          <w:bCs w:val="0"/>
          <w:color w:val="auto"/>
          <w:sz w:val="32"/>
          <w:szCs w:val="32"/>
          <w:lang w:val="en-US" w:eastAsia="zh-CN"/>
        </w:rPr>
        <w:t>164.03</w:t>
      </w:r>
      <w:r>
        <w:rPr>
          <w:rFonts w:hint="eastAsia" w:ascii="仿宋_GB2312" w:hAnsi="仿宋_GB2312" w:eastAsia="仿宋_GB2312" w:cs="仿宋_GB2312"/>
          <w:b w:val="0"/>
          <w:bCs w:val="0"/>
          <w:color w:val="auto"/>
          <w:kern w:val="2"/>
          <w:sz w:val="32"/>
          <w:szCs w:val="32"/>
          <w:lang w:val="en-US" w:eastAsia="zh-CN" w:bidi="ar-SA"/>
        </w:rPr>
        <w:t>万元，涉及6个项目，区六届人大三次会议经费51.30万元，区人大预算审查监督平台39.80万元，代表履职19.89万元，人大代表专业工作站建设21.24万元，推进城乡社区治理工作经费6.80万元，老干支部6.8</w:t>
      </w:r>
      <w:bookmarkStart w:id="0" w:name="_GoBack"/>
      <w:bookmarkEnd w:id="0"/>
      <w:r>
        <w:rPr>
          <w:rFonts w:hint="eastAsia" w:ascii="仿宋_GB2312" w:hAnsi="仿宋_GB2312" w:eastAsia="仿宋_GB2312" w:cs="仿宋_GB2312"/>
          <w:b w:val="0"/>
          <w:bCs w:val="0"/>
          <w:color w:val="auto"/>
          <w:kern w:val="2"/>
          <w:sz w:val="32"/>
          <w:szCs w:val="32"/>
          <w:lang w:val="en-US" w:eastAsia="zh-CN" w:bidi="ar-SA"/>
        </w:rPr>
        <w:t>万元。</w:t>
      </w:r>
    </w:p>
    <w:p>
      <w:pPr>
        <w:pStyle w:val="3"/>
        <w:bidi w:val="0"/>
        <w:rPr>
          <w:rFonts w:hint="eastAsia"/>
        </w:rPr>
      </w:pPr>
      <w:r>
        <w:t>（三）</w:t>
      </w:r>
      <w:r>
        <w:rPr>
          <w:rFonts w:hint="eastAsia"/>
        </w:rPr>
        <w:t>“三公”经费的使用和管理情况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我单位2023年严格贯彻中央八项规定精神，厉行节约。“三公”经费的使用严格按照文件范围执行，财务人员严把票据审核的关卡，确保资金的合理使用。2023年初财政批复局机关“三公”经费预算数为5万元，其中：公务接待费5万元、因公出国（境）费用0万元、公务用车购置及运行费0万元。全年决算单位支出“三公”经费为0.13万元，其中：公务接待费0.13万元、因公出国（境）费用0万元、公务用车购置及运行费0万元。</w:t>
      </w:r>
    </w:p>
    <w:p>
      <w:pPr>
        <w:pStyle w:val="2"/>
        <w:bidi w:val="0"/>
        <w:rPr>
          <w:rFonts w:hint="eastAsia"/>
        </w:rPr>
      </w:pPr>
      <w:r>
        <w:rPr>
          <w:rFonts w:hint="eastAsia"/>
        </w:rPr>
        <w:t>三、政府性基金预算支出情况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仿宋_GB2312" w:eastAsia="仿宋_GB2312" w:cs="仿宋_GB2312"/>
          <w:i w:val="0"/>
          <w:iCs w:val="0"/>
          <w:caps w:val="0"/>
          <w:color w:val="000000"/>
          <w:spacing w:val="0"/>
          <w:sz w:val="32"/>
          <w:szCs w:val="32"/>
          <w:shd w:val="clear" w:fill="FFFFFF"/>
          <w:lang w:val="en-US" w:eastAsia="zh-CN"/>
        </w:rPr>
      </w:pPr>
      <w:r>
        <w:rPr>
          <w:rFonts w:hint="eastAsia" w:ascii="仿宋_GB2312" w:eastAsia="仿宋_GB2312" w:cs="仿宋_GB2312"/>
          <w:i w:val="0"/>
          <w:iCs w:val="0"/>
          <w:caps w:val="0"/>
          <w:color w:val="000000"/>
          <w:spacing w:val="0"/>
          <w:sz w:val="32"/>
          <w:szCs w:val="32"/>
          <w:shd w:val="clear" w:fill="FFFFFF"/>
          <w:lang w:val="en-US" w:eastAsia="zh-CN"/>
        </w:rPr>
        <w:t>无。</w:t>
      </w:r>
    </w:p>
    <w:p>
      <w:pPr>
        <w:pStyle w:val="2"/>
        <w:bidi w:val="0"/>
        <w:rPr>
          <w:rFonts w:hint="eastAsia"/>
        </w:rPr>
      </w:pPr>
      <w:r>
        <w:rPr>
          <w:rFonts w:hint="eastAsia"/>
        </w:rPr>
        <w:t>四、国有资本经营预算支出情况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黑体" w:hAnsi="黑体" w:eastAsia="黑体" w:cs="黑体"/>
          <w:i w:val="0"/>
          <w:iCs w:val="0"/>
          <w:caps w:val="0"/>
          <w:color w:val="000000"/>
          <w:spacing w:val="0"/>
          <w:sz w:val="32"/>
          <w:szCs w:val="32"/>
          <w:shd w:val="clear" w:fill="FFFFFF"/>
        </w:rPr>
      </w:pPr>
      <w:r>
        <w:rPr>
          <w:rFonts w:hint="eastAsia" w:ascii="仿宋_GB2312" w:eastAsia="仿宋_GB2312" w:cs="仿宋_GB2312"/>
          <w:i w:val="0"/>
          <w:iCs w:val="0"/>
          <w:caps w:val="0"/>
          <w:color w:val="000000"/>
          <w:spacing w:val="0"/>
          <w:sz w:val="32"/>
          <w:szCs w:val="32"/>
          <w:shd w:val="clear" w:fill="FFFFFF"/>
          <w:lang w:val="en-US" w:eastAsia="zh-CN"/>
        </w:rPr>
        <w:t>无。</w:t>
      </w:r>
    </w:p>
    <w:p>
      <w:pPr>
        <w:pStyle w:val="2"/>
        <w:bidi w:val="0"/>
        <w:rPr>
          <w:rFonts w:hint="eastAsia"/>
        </w:rPr>
      </w:pPr>
      <w:r>
        <w:rPr>
          <w:rFonts w:hint="eastAsia"/>
        </w:rPr>
        <w:t>五、社会保险基金预算支出情况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黑体" w:hAnsi="黑体" w:eastAsia="黑体" w:cs="黑体"/>
          <w:i w:val="0"/>
          <w:iCs w:val="0"/>
          <w:caps w:val="0"/>
          <w:color w:val="000000"/>
          <w:spacing w:val="0"/>
          <w:sz w:val="32"/>
          <w:szCs w:val="32"/>
          <w:shd w:val="clear" w:fill="FFFFFF"/>
        </w:rPr>
      </w:pPr>
      <w:r>
        <w:rPr>
          <w:rFonts w:hint="eastAsia" w:ascii="仿宋_GB2312" w:eastAsia="仿宋_GB2312" w:cs="仿宋_GB2312"/>
          <w:i w:val="0"/>
          <w:iCs w:val="0"/>
          <w:caps w:val="0"/>
          <w:color w:val="000000"/>
          <w:spacing w:val="0"/>
          <w:sz w:val="32"/>
          <w:szCs w:val="32"/>
          <w:shd w:val="clear" w:fill="FFFFFF"/>
          <w:lang w:val="en-US" w:eastAsia="zh-CN"/>
        </w:rPr>
        <w:t>无。</w:t>
      </w:r>
    </w:p>
    <w:p>
      <w:pPr>
        <w:pStyle w:val="2"/>
        <w:bidi w:val="0"/>
        <w:rPr>
          <w:rFonts w:hint="eastAsia"/>
        </w:rPr>
      </w:pPr>
      <w:r>
        <w:rPr>
          <w:rFonts w:hint="eastAsia"/>
        </w:rPr>
        <w:t>六、部门整体支出绩效情况</w:t>
      </w:r>
    </w:p>
    <w:p>
      <w:pPr>
        <w:pStyle w:val="3"/>
        <w:bidi w:val="0"/>
        <w:rPr>
          <w:rFonts w:hint="default"/>
        </w:rPr>
      </w:pPr>
      <w:r>
        <w:rPr>
          <w:rFonts w:hint="default"/>
        </w:rPr>
        <w:t>（一）综合评价结论</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eastAsia="仿宋_GB2312" w:cs="仿宋_GB2312"/>
          <w:i w:val="0"/>
          <w:iCs w:val="0"/>
          <w:caps w:val="0"/>
          <w:color w:val="000000"/>
          <w:spacing w:val="0"/>
          <w:sz w:val="32"/>
          <w:szCs w:val="32"/>
          <w:shd w:val="clear" w:fill="FFFFFF"/>
        </w:rPr>
      </w:pPr>
      <w:r>
        <w:rPr>
          <w:rFonts w:hint="eastAsia" w:ascii="仿宋_GB2312" w:hAnsi="仿宋_GB2312" w:eastAsia="仿宋_GB2312" w:cs="仿宋_GB2312"/>
          <w:b w:val="0"/>
          <w:bCs w:val="0"/>
          <w:color w:val="auto"/>
          <w:sz w:val="32"/>
          <w:szCs w:val="32"/>
          <w:lang w:val="en-US" w:eastAsia="zh-CN"/>
        </w:rPr>
        <w:t>经自评，2023年度我单位部门整体支出绩效评价结论为“优”，自查评分为100分。</w:t>
      </w:r>
    </w:p>
    <w:p>
      <w:pPr>
        <w:pStyle w:val="3"/>
        <w:bidi w:val="0"/>
        <w:rPr>
          <w:rFonts w:hint="default"/>
        </w:rPr>
      </w:pPr>
      <w:r>
        <w:rPr>
          <w:rFonts w:hint="default"/>
        </w:rPr>
        <w:t>（二）评价指标分析</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一、坚持党的领导，在政治引领中推进人大工作</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党的领导是全面的、系统的、整体的，必须落实到人大工作各方面、全过程。常委会始终坚持党的领导这个最高政治原则，自觉与中央、省市区委保持高度一致。</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持续强化理论武装。坚持把理论学习作为依法履职先导，第一时间学习党的二十大精神和中央、省市区重要会议、文件精神，传达习近平总书记系列重要讲话和指示批示精神。组织开展集中宣讲、主题研讨、专题党课等活动23次，学习宣传习近平总书记关于坚持和完善人民代表大会制度的重要思想、全过程人民民主重要论述。坚持开展“一月一法”学习，提升人大队伍“法言法语”运用能力。推动区委理论学习中心组学习宪法，强化全区宪法意识。常态化开展党性教育，切实把“两个确立”的政治成果转化为坚决做到“两个维护”的政治自觉。</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坚决贯彻党委意图。将党的领导贯穿于人大工作全过程。向区委专题报告监督计划、代表活动、工作评议等情况6次。坚决贯彻落实区委人事意图，严格执行任前走访、法律考试、供职发言、宪法宣誓程序，一年来依法任免国家机关工作人员38人次。加强常委会党组自身建设，认真贯彻民主集中制，发挥把方向、管大局、保落实的政治功能，积极助推规划编制、雨污分流改造、文化旅游项目建设、乡村特色产业发展、卫生文明城市创建、企业联点和贫困监测户帮扶等全区重要工作，机关干部主动投身于大众运动会、志愿者服务和节约型机关创建等工作，持续发挥人大力量，作出人大贡献。</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扎实开展主题教育。学习贯彻习近平新时代中国特色社会主义思想主题教育开展以来，常委会党组高度重视、提前谋划，组织机关干部集中自学、交流讨论，切实增强主题教育的思想自觉、政治自觉、行动自觉。深入开展调查研究，做好主题教育“走找想促”活动与调查研究、依法监督、工作评议等结合文章，围绕国土空间规划编制、行政执法质量提升等形成高质量调研报告8篇，有效解决岳化安居幼儿园房屋渗漏、长岭街道卫生服务中心急救车辆缺乏、团结村竹野组道路和池塘安全隐患、长江云溪段沿线垃圾杂物随意堆放等一批实际问题，确保主题教育下真功、见真效。</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二、紧扣中心大局，在促进发展中彰显人大作为</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随着己内酰胺项目全面投产，湖南石化正式组建，乙烯、天辰新材料等重大项目落地，以及《关于加快推进现代石化产业高质量发展的意见》正式实施，云溪加快建设湖南万亿现代石化产业核心基地“其时已至”“其势已成”。常委会紧紧围绕这个中心大局，在推动云溪高质量发展中扛牢人大职责，展现人大作为。</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助力产业项目发展。始终关注用地、能耗、环境容量、基础设施等要素保障，促成《关于支持打造全省现代石化万亿产业集群核心基地的建议》作为岳阳市代表团全团建议，提交至省十四届人大一次会议，引起省委省政府重视，建立乙烯项目高位推动机制，编制全省万亿石化产业发展规划。秉承支持和服务理念，组织各级人大代表进站开展活动，听取绿色化工高新区产业规划，视察乙烯、己内酰胺、昌德新材料、铁水集运煤炭储备基地等项目，引导代表们提出更有针对性、可具操作性的意见建议。为聚仁化工、景嘉化工等10余家企业协调服务、出谋划策，推动融资上市、人才居住、电力供应等一批问题得以解决。</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加强规划编制领导。高质量规划是高质量发展的前提，区委高度重视、重点部署。常委会第一时间认领任务，多次到市自然资源和规划局、市规划勘测设计院、绿色化工高新区及部分区直单位开展专题调研；深入路口镇、陆城镇和坪田、友好、姜畈、泾港、白荆等村听取基层声音；现场察看城南、欣港东路等重点片区发展现状，掌握了大量第一手资料。同时，积极参加湖南万亿现代石化产业核心基地考察团调研，组织规划工作相关人员考察长江中游同类城市，主动与高校规划专家沟通交流，消化吸收新理念、新经验。常委会发挥牵头、协调、助推作用，综合各方意见，形成了城市更新、区港一体化、产城配套、基础设施建设、社会治理、乡村振兴等方面的具体建议成果，为高质量规划工作提供人大支持。</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督促部门履职尽责。持续推进届内政府组成部门工作评议全覆盖，促进其依法行政、高效履职、服务发展。今年，常委会对交警云溪大队、区公安分局、生态环境分局、税务局、住房公积金管理部、文旅广电局、城管局、退役军人事务局、林业局等9个单位开展了工作评议。评议过程坚持区委领导、依法评议、实事求是、客观公正、注重实效，共计提出评议意见62条，有效推动了被评议单位落实上级决策部署，回应群众关切，提升履职成效。庄严庄重的仪式感、直奔问题的评议发言、有理有据的对策建议、真实客观的测评结果，既让被评议单位心服口服，也让列席单位认可认同，既彰显了人大监督权威，又提升了部门单位工作水平。</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服务经济健康运行。督促预算法的贯彻落实，加强全口径预决算管理，完善预算联网审查监督；听取审议“十四五”规划纲要实施中期评估报告，强化目标定位意识，发挥规划引领作用；深化人大监督与审计监督贯通协同，开展审计查出问题整改落实情况满意度测评，着力做好审计整改“后半篇文章”；听取国有资产、政府债务等管理情况，进一步提高财政资金使用绩效，督促财政平稳健康运行。听取绿色化工高新区项目建设报告，协助开展全省“十大产业项目”调研，视察《湖南省先进制造业促进条例》实施情况,督促处置园区“僵尸企业”，为产业发展积蓄动能。听取审议科技成果转化和产业化工作情况，助力云溪争创全省科技创新型区，以创新驱动赋能经济高质量发展。</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三、聚焦群众期盼，在改善民生中展现人大担当</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坚持以人民为中心，推动解决人民群众普遍关注的热点难点问题。</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促进公共服务覆盖更广。公共服务关乎发展、涉及民生、连接民心。助力交通服务更完善。修建云溪至岳阳中心城区的第二条快速道路，是云溪广大群众的热切期盼。常委会组织代表向市人民代表大会提出《关于修建云溪区城南至岳阳楼区胥家桥物流通道的建议》，市人民政府高度重视，在空间规划和交通规划中明确道路方案，并确定为省级重点建设项目。助力医疗服务更高效。听取审议镇村两级医疗服务体系建设和城乡居民基本公共卫生服务情况，提高全区公共卫生服务效能。跟踪区级医疗资源整合审议意见整改落实，使医疗卫生机构布局更趋合理。助力教育服务更优质。开展“重振岳阳教育雄风，加快建设教育强市”大调研，督促城南幼儿园建成使用、云溪小学启动扩建，听取义务教育阶段“双减”工作，有效推动校外机构培训规范化。助力文旅服务更多元。积极对接省市专项规划，为清溪生态公园等项目争取政策支持，提出完善服务设施、文旅融合发展等意见，促进文化旅游资源保护、开发和利用。</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促进城乡生活品质更优。将民主监督的“触角”延伸到城乡生活各方面，真正让群众有获得感。推动城市生活更美好。将监督工作贯穿城区雨污分流改造项目全过程，有效保障项目的质量和进度。视察城市社区老旧小区改造、小游园建设，跟踪公租房和物业管理审议意见落实情况，开展区城管局评议调研，促进城市精细化管理水平进一步提升。推动乡村生活更幸福。视察农村公路建设养护情况，促进农民群众安全便捷出行。审议农业特色产业发展，调研农村集体经济，推动做活农产品“小而精”“小而特”品牌，助力油茶产业升级转型突围，脱贫攻坚不断巩固，乡村振兴不断发展。推动社会保障更健全。针对新港区被征地农民社会保险基金收缴不及时的问题，依法提出审议意见，支持区人民政府对接新港区开展社保基金征缴。听取养老服务工作情况，督促制定《云溪区推进养老服务高质量发展的若干措施》，助推养老机构改革和建设。听取审议退役军人事务管理工作，支持鼓励退役军人就业创业，营造爱国拥军氛围。</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促进安全环保底线更牢。安全和环保工作是社会重要关切，也是常委会每年的监督重点。听取审议云溪区首创的安全生产“1+1”协同监管机制运行情况，配合省市人大开展安全生产“一法一条例一办法”执法检查，助推燃气使用、“问题砖”、危货车辆和危货停车场安全隐患整治。常委会领导联点督导食品安全，压实“两个责任”，保障群众舌尖上的安全。牢记总书记“守护好一江碧水”的殷殷嘱托，听取“洞庭清波”专项监督工作审议意见落实情况，审议2023年度生态环境保护目标中期实施情况，对生态环境主管部门提出补齐职能短板、加大监管力度、提升应急能力等评议意见，督促切实担负好生态环境保护的法定职责。听取河长制工作情况，视察矿山生态修复项目，开展“六五”环境日主题活动，引导全民共建共治绿水青山。</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四、维护公平正义，在厉行法治中作出人大贡献</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坚持以习近平法治思想为指引，切实把法的武器用起来、制度的功效亮出来、民主的力量聚起来。</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依法监督护航法治营商环境。营商环境直接关系企业经营、经济发展、政府形象。听取审议行政审批制度改革工作情况，既肯定成绩，又指出不足，强调各职能部门要深化便民利企的赋权举措，形成协调联动的工作合力。人大监督与司法监督同向发力，结合行政管理、行政执行、行政监督等类别的检察建议，结合区人民法院“优化法治化营商环境”专项行动，带着服务企业、服务群众的初心使命，深入走访职能部门、基层单位和企业，努力推动营商环境法治化建设，提振各类企业和市场主体在云溪投资创业的信心。</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依法决定提升行政执法质量。今年8月，国务院发布《提升行政执法质量三年行动计划（2023-2025年）》，常委会第一时间深入调查研究，细化工作方案，作出《关于开展提升行政执法质量三年行动计划（2023-2025年）的决定》，促进司法机关和行政执法单位依法履职，维护社会公平正义，为高质量推进法治政府建设注入动力。镇（街）执法赋权是提升行政执法质量的关键。常委会开展专项调研，听取审议将部分行政执法权赋予镇（街）的情况，分析镇（街）行政执法队伍建设、案件办理、上下联动等现状，将其与法治政府建设、案卷评查、落实省委依法治省办督察反馈意见整改等工作有效衔接，全力推动行政执法质量提升。</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依法履职营造良好法治氛围。积极配合全国、省、市人大开展生态环境、动物防疫、居家养老服务等立法调研，为立法工作贡献云溪智慧和经验。听取审议未成年人检察工作情况，坚决遏制侵害未成年人犯罪。跟踪监督《关于开展第八个五年法治宣传教育的决议》《关于加强司法建议、检察建议工作的决议》贯彻落实情况，督促加大普法宣传力度。加强规范性文件备案审查，对5名员额法官、2名员额检察官开展履职评议。强化宪法宣传教育，助力开展“宪法日和宪法宣传周”系列活动，人大、政府、法院、检察院和司法、公安、科工等部门单位560余名国家工作人员完成集体宪法宣誓，全区掀起尊崇宪法、学习宪法、宣传宪法的新高潮。</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五、践行全过程人民民主，在凝心聚力中发挥人大优势</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2022年，时任全国人大常委会委员长栗战书曾强调，“人大代表不是政治光环、政治荣誉，而是重要职务，是要讲担当、有作为的”。常委会积极践行全过程人民民主重要制度安排，坚持代表主体地位，密切人大代表与人民群众的联系。</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强化代表履职保障。将人大代表履职培训纳入年度工作计划，采取“线上”“线下”相结合，“请进来”“走出去”相结合的方式系统开展培训，持续提升代表履职能力。加强代表履职平台建设，重点谋划推进石化产业人大代表专业工作站的作用发挥，在促进代表履职上，进一步完善学习、视察、调研等制度，让代表清楚闭会期间应该做什么、怎么做；在汇聚专业力量上，坚持“人大主导、园区支持、企业合力”建设思路，有效组织来自“大厂”、民营企业、高新区的人大代表座谈交流，提出有利于石化产业发展、有利于企业互通有无、有利于技术能力提升的好建议；在为企业排忧解难上，针对园区电力供应问题，通过人大代表工作站积极协调，供电部门积极作为，完成企业和农村电网分离，完善“双电源”供电方式，园区供电可靠性大幅提高。</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丰富代表履职形式。一年来，全区19个人大代表工作站采取学习、视察、调研、情况通报、交流发言等方式，集中开展活动80余次。石化产业专业工作站视察乙烯、己内酰胺等重点项目，代表们的履职成效得到市级媒体推介；财经专业工作站参观“两厂”厂史纪念馆，为厂地融合发展建言献策；法制专业工作站开展“美好生活·民法典相伴”等普法宣传活动,推动法治观念深入人心；教科文卫专业工作站视察全区旅游工作，提出打造工业旅游精品项目的意见；环境与资源专业工作站开展“世界环境日”系列宣传活动，持续关注大气异味扰民等热点问题；农业农村专业工作站视察12个农业生产基地、双清田园综合体，为现代农业产业发展建真言、献良策；社会建设专业工作站视察全区养老服务工作，促进养老服务机构活力释放等。全区各级人大代表满怀激情，积极有为，助推云溪经济社会高质量发展。</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增强代表履职成效。认真研究办理代表建议，是各国家机关的法定职责，是接受人民监督、支持代表履职的必然要求。今年，常委会主任会议回应代表意见，专题研究部署，努力提升建议办理质量。区人民政府和各承办单位进一步健全组织领导、细化任务分解，落实重点建议重点督办要求，代表建议办理成效明显。区交通局、自然资源局、交警云溪大队、公路建养中心等单位加强与代表沟通联系，深入调查研究，使办理建议的过程成为联系群众、改进工作的过程。区六届人大三次会议以来收到的57件代表建议，全部在规定期限内完成答复，满意率达到98%。“优化完善公交线路”“雨污分流改造后规范管理”“合理调整城建加油站红绿灯信号”“为长岭街道制定国土空间规划方案”等一批事项得到有效解决。</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六、加强自身建设，在守正创新中提升人大形象</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始终把加强自身建设摆在突出位置，以高效能履职服务高质量发展。</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切实增强监督能力。人民代表大会制度“因监督而生,为监督而设”。常委会以提升监督能力和监督实效为出发点，认真总结提升过来的做法，创新出台《关于实行调查清单、审议清单和整改清单的指导意见》。按照“三项清单”制度要求，我们精准切题、认真审议、注重整改，有效形成监督闭环，增强了监督刚性和实效。例如，在常委会按调查清单、审议清单的要求完成相关议题调查审议后，区法检两院依据审议意见，制定法院执行和公益诉讼检察工作的整改清单。区人民法院开展“湘执利剑2023”“雷霆2023”等专项执行行动，努力兑现群众胜诉权益；区人民检察院对某企业易制毒化学品进行公益诉讼立案调查，消除了安全隐患。“三项清单”制度有效提升了人大正确监督、有效监督、依法监督能力。</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切实加强作风建设。持续发挥党建引领作用，认真召开党组民主生活会和机关党支部组织生活会，压实扛牢全面从严治党主体责任、意识形态全面领导责任和党风廉政建设“一岗双责”，推进“清廉人大”机关建设。今年来，常委会党组成员、派驻纪检组组长、机关支部委员带头讲党课10次，学习通报党风廉政建设会议精神、典型案例9次，机关干部撰写“两带头五整治”心得体会36篇。加强全过程人民民主理论与实践研究，做好信息宣传报道。常委会微信公众号推出“深入调研 务求实效”专栏21期，累计推送信息112条。在国家、省、市级媒体上发表文章24篇，讲好了云溪人大故事，展现了云溪代表风采。</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切实建强基层人大。树牢全区人大工作“一盘棋”意识，常委会领导班子四批次深入镇街开展工作调研，组织学习乡镇和街道人大工作条例，有效提升基层人大工作水平。路口镇组织代表参加“群英断是非”工作，代表数量占比达到四分之一，有力推动了中心工作；陆城镇开展民生实事票决，推动“双联”服务走深走实，有效解决农村建房纠纷、机耕道路修复等问题；云溪街道创新人大线上“吹哨”，代表线下“领办”机制，将开通安居园社区南门等代表建议办好办实；长岭街道组织代表积极投身征地拆迁工作，乙烯主体项目即将开工建设，创造了全国石化领域项目的“岳阳速度”；松杨湖街道将人大工作与网格化治理相融合，做好服务群众、服务新港区两篇文章。云溪基层人大正在生动践行全过程人民民主。</w:t>
      </w:r>
    </w:p>
    <w:p>
      <w:pPr>
        <w:pStyle w:val="2"/>
        <w:bidi w:val="0"/>
        <w:rPr>
          <w:rFonts w:hint="eastAsia"/>
        </w:rPr>
      </w:pPr>
      <w:r>
        <w:rPr>
          <w:rFonts w:hint="eastAsia"/>
        </w:rPr>
        <w:t>七、存在的问题及原因分析</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人民代表大会制度意识有待进一步提升；监督工作在解决热点、难点、焦点问题上有待进一步加强；常委会组成人员的整体作用有待进一步发挥；联系人大代表和人民群众有待进一步深入；代表履职积极性有待进一步提高；常委会和镇（街）人大自身建设有待进一步改善等。这些问题，我们将虚心听取代表和各方意见建议，高度重视，认真解决</w:t>
      </w:r>
    </w:p>
    <w:p>
      <w:pPr>
        <w:pStyle w:val="2"/>
        <w:bidi w:val="0"/>
        <w:rPr>
          <w:rFonts w:hint="eastAsia"/>
        </w:rPr>
      </w:pPr>
      <w:r>
        <w:rPr>
          <w:rFonts w:hint="eastAsia"/>
        </w:rPr>
        <w:t>八、下一步改进措施</w:t>
      </w:r>
    </w:p>
    <w:p>
      <w:pPr>
        <w:spacing w:line="600" w:lineRule="exact"/>
        <w:ind w:firstLine="640" w:firstLineChars="200"/>
        <w:rPr>
          <w:rFonts w:hint="eastAsia" w:ascii="黑体" w:hAnsi="黑体" w:eastAsia="黑体" w:cs="黑体"/>
          <w:color w:val="000000"/>
          <w:sz w:val="32"/>
          <w:szCs w:val="32"/>
        </w:rPr>
      </w:pPr>
      <w:r>
        <w:rPr>
          <w:rFonts w:hint="eastAsia" w:ascii="黑体" w:hAnsi="黑体" w:eastAsia="黑体" w:cs="黑体"/>
          <w:color w:val="000000"/>
          <w:sz w:val="32"/>
          <w:szCs w:val="32"/>
        </w:rPr>
        <w:t>一、牢牢把握人大工作正确政治方向</w:t>
      </w:r>
    </w:p>
    <w:p>
      <w:pPr>
        <w:spacing w:line="600" w:lineRule="exact"/>
        <w:ind w:firstLine="643" w:firstLineChars="200"/>
        <w:rPr>
          <w:rFonts w:hint="eastAsia" w:ascii="仿宋_GB2312" w:hAnsi="仿宋_GB2312" w:eastAsia="仿宋_GB2312" w:cs="仿宋_GB2312"/>
          <w:color w:val="000000"/>
          <w:sz w:val="32"/>
          <w:szCs w:val="32"/>
        </w:rPr>
      </w:pPr>
      <w:r>
        <w:rPr>
          <w:rFonts w:hint="eastAsia" w:ascii="楷体_GB2312" w:hAnsi="楷体_GB2312" w:eastAsia="楷体_GB2312" w:cs="楷体_GB2312"/>
          <w:b/>
          <w:bCs/>
          <w:color w:val="000000"/>
          <w:sz w:val="32"/>
          <w:szCs w:val="32"/>
        </w:rPr>
        <w:t>1、加强政治理论武装。</w:t>
      </w:r>
      <w:r>
        <w:rPr>
          <w:rFonts w:hint="eastAsia" w:ascii="仿宋_GB2312" w:hAnsi="仿宋_GB2312" w:eastAsia="仿宋_GB2312" w:cs="仿宋_GB2312"/>
          <w:color w:val="000000"/>
          <w:sz w:val="32"/>
          <w:szCs w:val="32"/>
        </w:rPr>
        <w:t>坚持不懈用习近平新时代中国特色社会主义思想凝心铸魂，深刻领悟“两个确立”的决定性意义，增强“四个意识”、坚定“四个自信”、做到“两个维护”，在思想上政治上行动上同以习近平同志为核心的党中央保持高度一致。坚持“第一议题”“第一政治要件”落实习近平总书记重要讲话和指示批示精神，牢牢把握党的创新理论的世界观、方法论，坚持好、运用好贯穿其中的立场观点方法，更好地用以统揽和指导新时代人大工作。</w:t>
      </w:r>
    </w:p>
    <w:p>
      <w:pPr>
        <w:spacing w:line="600" w:lineRule="exact"/>
        <w:ind w:firstLine="643" w:firstLineChars="200"/>
        <w:rPr>
          <w:rFonts w:hint="eastAsia" w:ascii="仿宋_GB2312" w:hAnsi="仿宋_GB2312" w:eastAsia="仿宋_GB2312" w:cs="仿宋_GB2312"/>
          <w:color w:val="000000"/>
          <w:sz w:val="32"/>
          <w:szCs w:val="32"/>
        </w:rPr>
      </w:pPr>
      <w:r>
        <w:rPr>
          <w:rFonts w:hint="eastAsia" w:ascii="楷体_GB2312" w:hAnsi="楷体_GB2312" w:eastAsia="楷体_GB2312" w:cs="楷体_GB2312"/>
          <w:b/>
          <w:bCs/>
          <w:color w:val="000000"/>
          <w:sz w:val="32"/>
          <w:szCs w:val="32"/>
        </w:rPr>
        <w:t>2、坚持党对人大工作的全面领导。</w:t>
      </w:r>
      <w:r>
        <w:rPr>
          <w:rFonts w:hint="eastAsia" w:ascii="仿宋_GB2312" w:hAnsi="仿宋_GB2312" w:eastAsia="仿宋_GB2312" w:cs="仿宋_GB2312"/>
          <w:color w:val="000000"/>
          <w:sz w:val="32"/>
          <w:szCs w:val="32"/>
        </w:rPr>
        <w:t>始终坚持党的全面领导这一最高政治原则，把坚持高质量发展作为新时代的硬道理，把推进中国式现代化作为最大的政治，紧扣党中央重大决策部署和省委、市委工作要求积极担当作为，把党中央关于人大工作的要求、党中央交给地方人大的重要任务落实到全市人大工作之中。严格执行请示报告制度，及时向市委请示报告人大工作中的重大问题、重要事项、重要情况，确保人大工作在党的领导下进行。</w:t>
      </w:r>
    </w:p>
    <w:p>
      <w:pPr>
        <w:spacing w:line="600" w:lineRule="exact"/>
        <w:ind w:firstLine="643" w:firstLineChars="200"/>
        <w:rPr>
          <w:rFonts w:hint="eastAsia" w:ascii="仿宋_GB2312" w:hAnsi="仿宋_GB2312" w:eastAsia="仿宋_GB2312" w:cs="仿宋_GB2312"/>
          <w:color w:val="000000"/>
          <w:sz w:val="32"/>
          <w:szCs w:val="32"/>
        </w:rPr>
      </w:pPr>
      <w:r>
        <w:rPr>
          <w:rFonts w:hint="eastAsia" w:ascii="楷体_GB2312" w:hAnsi="楷体_GB2312" w:eastAsia="楷体_GB2312" w:cs="楷体_GB2312"/>
          <w:b/>
          <w:bCs/>
          <w:color w:val="000000"/>
          <w:sz w:val="32"/>
          <w:szCs w:val="32"/>
        </w:rPr>
        <w:t>3、进一步强化常委会党组领导。</w:t>
      </w:r>
      <w:r>
        <w:rPr>
          <w:rFonts w:hint="eastAsia" w:ascii="仿宋_GB2312" w:hAnsi="仿宋_GB2312" w:eastAsia="仿宋_GB2312" w:cs="仿宋_GB2312"/>
          <w:color w:val="000000"/>
          <w:sz w:val="32"/>
          <w:szCs w:val="32"/>
        </w:rPr>
        <w:t>充分发挥常委会党组把方向、管大局、保落实作用，举办纪念人民代表大会制度建立70周年、市人大及其常委会设立40周年系列活动，编纂出版《岳阳市人民代表大会志》，制定法治护航高质量发展和高水平机关建设“两个三年行动”工作方案，强化上下联动、左右协同，推进全市人大工作“一盘棋”。认真贯彻执行民主集中制，发挥好“关键少数”示范带动作用。加强对机关党组和机关党支部的领导，充分发挥党组织功能。</w:t>
      </w:r>
    </w:p>
    <w:p>
      <w:pPr>
        <w:spacing w:line="600" w:lineRule="exact"/>
        <w:ind w:firstLine="640" w:firstLineChars="200"/>
        <w:rPr>
          <w:rFonts w:ascii="黑体" w:hAnsi="黑体" w:eastAsia="黑体" w:cs="黑体"/>
          <w:color w:val="000000"/>
          <w:sz w:val="32"/>
          <w:szCs w:val="32"/>
        </w:rPr>
      </w:pPr>
      <w:r>
        <w:rPr>
          <w:rFonts w:hint="eastAsia" w:ascii="黑体" w:hAnsi="黑体" w:eastAsia="黑体" w:cs="黑体"/>
          <w:color w:val="000000"/>
          <w:sz w:val="32"/>
          <w:szCs w:val="32"/>
        </w:rPr>
        <w:t>二</w:t>
      </w:r>
      <w:r>
        <w:rPr>
          <w:rFonts w:hint="eastAsia" w:ascii="黑体" w:hAnsi="黑体" w:eastAsia="黑体" w:cs="黑体"/>
          <w:color w:val="000000"/>
          <w:spacing w:val="-10"/>
          <w:sz w:val="32"/>
          <w:szCs w:val="32"/>
        </w:rPr>
        <w:t xml:space="preserve">、不断强化社会主义现代化“七个岳阳”的法制保障 </w:t>
      </w:r>
    </w:p>
    <w:p>
      <w:pPr>
        <w:spacing w:line="600" w:lineRule="exact"/>
        <w:ind w:firstLine="643" w:firstLineChars="200"/>
        <w:rPr>
          <w:rFonts w:hint="eastAsia" w:ascii="仿宋_GB2312" w:hAnsi="仿宋_GB2312" w:eastAsia="仿宋_GB2312" w:cs="仿宋_GB2312"/>
          <w:color w:val="000000"/>
          <w:sz w:val="32"/>
          <w:szCs w:val="32"/>
          <w:shd w:val="clear" w:color="auto" w:fill="FFFFFF"/>
        </w:rPr>
      </w:pPr>
      <w:r>
        <w:rPr>
          <w:rFonts w:hint="eastAsia" w:ascii="楷体_GB2312" w:hAnsi="楷体_GB2312" w:eastAsia="楷体_GB2312" w:cs="楷体_GB2312"/>
          <w:b/>
          <w:bCs/>
          <w:color w:val="000000"/>
          <w:sz w:val="32"/>
          <w:szCs w:val="32"/>
          <w:shd w:val="clear" w:color="auto" w:fill="FFFFFF"/>
        </w:rPr>
        <w:t>4、强化地方立法供给。</w:t>
      </w:r>
      <w:r>
        <w:rPr>
          <w:rFonts w:hint="eastAsia" w:ascii="仿宋_GB2312" w:hAnsi="仿宋_GB2312" w:eastAsia="仿宋_GB2312" w:cs="仿宋_GB2312"/>
          <w:color w:val="000000"/>
          <w:sz w:val="32"/>
          <w:szCs w:val="32"/>
          <w:shd w:val="clear" w:color="auto" w:fill="FFFFFF"/>
        </w:rPr>
        <w:t>落实《全面推进“小快灵”立法三年（2024年—2026年）行动方案》，制定《岳阳市养犬管理规定》《岳阳市住宅物业管理规定》等法规，修正《岳阳市人民代表大会及其常务委员会制定地方性法规条例》。开展《岳阳市东洞庭湖国家级自然保护区条例》修改前期调研。开展《岳阳市园区企业消防安全管理若干规定》立法调研。</w:t>
      </w:r>
    </w:p>
    <w:p>
      <w:pPr>
        <w:spacing w:line="600" w:lineRule="exact"/>
        <w:ind w:firstLine="643" w:firstLineChars="200"/>
        <w:rPr>
          <w:rFonts w:hint="eastAsia" w:ascii="仿宋_GB2312" w:hAnsi="仿宋_GB2312" w:eastAsia="仿宋_GB2312" w:cs="仿宋_GB2312"/>
          <w:color w:val="000000"/>
          <w:sz w:val="32"/>
          <w:szCs w:val="32"/>
          <w:shd w:val="clear" w:color="auto" w:fill="FFFFFF"/>
        </w:rPr>
      </w:pPr>
      <w:r>
        <w:rPr>
          <w:rFonts w:hint="eastAsia" w:ascii="楷体_GB2312" w:hAnsi="楷体_GB2312" w:eastAsia="楷体_GB2312" w:cs="楷体_GB2312"/>
          <w:b/>
          <w:bCs/>
          <w:color w:val="000000"/>
          <w:sz w:val="32"/>
          <w:szCs w:val="32"/>
          <w:shd w:val="clear" w:color="auto" w:fill="FFFFFF"/>
        </w:rPr>
        <w:t>5、健全完善地方立法体制机制。</w:t>
      </w:r>
      <w:r>
        <w:rPr>
          <w:rFonts w:hint="eastAsia" w:ascii="仿宋_GB2312" w:hAnsi="仿宋_GB2312" w:eastAsia="仿宋_GB2312" w:cs="仿宋_GB2312"/>
          <w:color w:val="000000"/>
          <w:sz w:val="32"/>
          <w:szCs w:val="32"/>
          <w:shd w:val="clear" w:color="auto" w:fill="FFFFFF"/>
        </w:rPr>
        <w:t>坚持地方立法“双组长制”，实行“一个项目、两个组长、协调联动”的工作机制。充分发挥人大在立项、起草、重大问题协调以及审议把关中的主导作用，健全基层立法联系点运行机制，不断提升立法质量水平。</w:t>
      </w:r>
    </w:p>
    <w:p>
      <w:pPr>
        <w:spacing w:line="600" w:lineRule="exact"/>
        <w:ind w:firstLine="643" w:firstLineChars="200"/>
        <w:rPr>
          <w:rFonts w:hint="eastAsia" w:ascii="仿宋_GB2312" w:hAnsi="仿宋_GB2312" w:eastAsia="仿宋_GB2312" w:cs="仿宋_GB2312"/>
          <w:color w:val="000000"/>
          <w:sz w:val="32"/>
          <w:szCs w:val="32"/>
          <w:shd w:val="clear" w:color="auto" w:fill="FFFFFF"/>
        </w:rPr>
      </w:pPr>
      <w:r>
        <w:rPr>
          <w:rFonts w:hint="eastAsia" w:ascii="楷体_GB2312" w:hAnsi="楷体_GB2312" w:eastAsia="楷体_GB2312" w:cs="楷体_GB2312"/>
          <w:b/>
          <w:bCs/>
          <w:color w:val="000000"/>
          <w:sz w:val="32"/>
          <w:szCs w:val="32"/>
          <w:shd w:val="clear" w:color="auto" w:fill="FFFFFF"/>
        </w:rPr>
        <w:t>6、加强规范性文件备案审查能力建设。</w:t>
      </w:r>
      <w:r>
        <w:rPr>
          <w:rFonts w:hint="eastAsia" w:ascii="仿宋_GB2312" w:hAnsi="仿宋_GB2312" w:eastAsia="仿宋_GB2312" w:cs="仿宋_GB2312"/>
          <w:color w:val="000000"/>
          <w:sz w:val="32"/>
          <w:szCs w:val="32"/>
          <w:shd w:val="clear" w:color="auto" w:fill="FFFFFF"/>
        </w:rPr>
        <w:t>配合做好全省法规规章规范性文件数据库和备案审查信息平台建设，对涉及发改委方面的收费文件进行专项清理审查，听取和审议2023年度全市规范性文件备案审查工作情况的报告。</w:t>
      </w:r>
    </w:p>
    <w:p>
      <w:pPr>
        <w:spacing w:line="600" w:lineRule="exact"/>
        <w:ind w:firstLine="640" w:firstLineChars="200"/>
        <w:rPr>
          <w:rFonts w:hint="eastAsia" w:ascii="黑体" w:hAnsi="黑体" w:eastAsia="黑体" w:cs="黑体"/>
          <w:color w:val="000000"/>
          <w:sz w:val="32"/>
          <w:szCs w:val="32"/>
        </w:rPr>
      </w:pPr>
      <w:r>
        <w:rPr>
          <w:rFonts w:hint="eastAsia" w:ascii="黑体" w:hAnsi="黑体" w:eastAsia="黑体" w:cs="黑体"/>
          <w:color w:val="000000"/>
          <w:sz w:val="32"/>
          <w:szCs w:val="32"/>
        </w:rPr>
        <w:t>三、用好宪法法律赋予的监督权</w:t>
      </w:r>
    </w:p>
    <w:p>
      <w:pPr>
        <w:spacing w:line="600" w:lineRule="exact"/>
        <w:ind w:firstLine="643" w:firstLineChars="200"/>
        <w:rPr>
          <w:rFonts w:ascii="仿宋_GB2312" w:hAnsi="仿宋_GB2312" w:eastAsia="仿宋_GB2312" w:cs="仿宋_GB2312"/>
          <w:color w:val="000000"/>
          <w:sz w:val="32"/>
          <w:szCs w:val="32"/>
        </w:rPr>
      </w:pPr>
      <w:r>
        <w:rPr>
          <w:rFonts w:hint="eastAsia" w:ascii="楷体_GB2312" w:hAnsi="楷体_GB2312" w:eastAsia="楷体_GB2312" w:cs="楷体_GB2312"/>
          <w:b/>
          <w:bCs/>
          <w:color w:val="000000"/>
          <w:sz w:val="32"/>
          <w:szCs w:val="32"/>
          <w:shd w:val="clear" w:color="auto" w:fill="FFFFFF"/>
        </w:rPr>
        <w:t>7、开展执法检查。</w:t>
      </w:r>
      <w:r>
        <w:rPr>
          <w:rFonts w:hint="eastAsia" w:ascii="仿宋_GB2312" w:hAnsi="仿宋_GB2312" w:eastAsia="仿宋_GB2312" w:cs="仿宋_GB2312"/>
          <w:color w:val="000000"/>
          <w:sz w:val="32"/>
          <w:szCs w:val="32"/>
        </w:rPr>
        <w:t>组织检查大气污染防治“一法两条例一规定”、中小企业促进“一法一办法”、安全生产“三法一条例两办法”、退役军人保障法、《岳阳市政府投资建设领域反铺张浪费规定》《岳阳历史文化名城保护条例》实施情况。</w:t>
      </w:r>
    </w:p>
    <w:p>
      <w:pPr>
        <w:spacing w:line="600" w:lineRule="exact"/>
        <w:ind w:firstLine="643" w:firstLineChars="200"/>
        <w:rPr>
          <w:rFonts w:hint="eastAsia" w:ascii="仿宋_GB2312" w:hAnsi="仿宋_GB2312" w:eastAsia="仿宋_GB2312" w:cs="仿宋_GB2312"/>
          <w:color w:val="000000"/>
          <w:sz w:val="32"/>
          <w:szCs w:val="32"/>
        </w:rPr>
      </w:pPr>
      <w:r>
        <w:rPr>
          <w:rFonts w:hint="eastAsia" w:ascii="楷体_GB2312" w:hAnsi="楷体_GB2312" w:eastAsia="楷体_GB2312" w:cs="楷体_GB2312"/>
          <w:b/>
          <w:bCs/>
          <w:color w:val="000000"/>
          <w:sz w:val="32"/>
          <w:szCs w:val="32"/>
          <w:shd w:val="clear" w:color="auto" w:fill="FFFFFF"/>
        </w:rPr>
        <w:t>8、听取和审议专项工作报告。</w:t>
      </w:r>
      <w:r>
        <w:rPr>
          <w:rFonts w:hint="eastAsia" w:ascii="楷体_GB2312" w:hAnsi="楷体_GB2312" w:eastAsia="楷体_GB2312" w:cs="楷体_GB2312"/>
          <w:b/>
          <w:bCs/>
          <w:color w:val="000000"/>
          <w:sz w:val="32"/>
          <w:szCs w:val="32"/>
        </w:rPr>
        <w:t>常委会会议听取和审议</w:t>
      </w:r>
      <w:r>
        <w:rPr>
          <w:rFonts w:hint="eastAsia" w:ascii="仿宋_GB2312" w:hAnsi="仿宋_GB2312" w:eastAsia="仿宋_GB2312" w:cs="仿宋_GB2312"/>
          <w:color w:val="000000"/>
          <w:sz w:val="32"/>
          <w:szCs w:val="32"/>
        </w:rPr>
        <w:t>2023年度执法检查审议意见、视察审议意见、工作评议意见研究处理情况的报告，计划、预决算、审计工作报告，以及企业国有资产管理、“林长制”工作、城乡规划年度计划实施、市中心城区公共区域停车场管理、建议办理督办等专项工作报告；</w:t>
      </w:r>
      <w:r>
        <w:rPr>
          <w:rFonts w:hint="eastAsia" w:ascii="楷体_GB2312" w:hAnsi="楷体_GB2312" w:eastAsia="楷体_GB2312" w:cs="楷体_GB2312"/>
          <w:b/>
          <w:bCs/>
          <w:color w:val="000000"/>
          <w:sz w:val="32"/>
          <w:szCs w:val="32"/>
        </w:rPr>
        <w:t>常委会会议听取</w:t>
      </w:r>
      <w:r>
        <w:rPr>
          <w:rFonts w:hint="eastAsia" w:ascii="仿宋_GB2312" w:eastAsia="仿宋_GB2312"/>
          <w:color w:val="000000"/>
          <w:sz w:val="32"/>
          <w:szCs w:val="32"/>
        </w:rPr>
        <w:t>开放型经济、市属国有企业平台公司运行情况、2024年度生态环境保护目标中期实施情况的报告；</w:t>
      </w:r>
      <w:r>
        <w:rPr>
          <w:rFonts w:hint="eastAsia" w:ascii="楷体_GB2312" w:hAnsi="楷体_GB2312" w:eastAsia="楷体_GB2312" w:cs="楷体_GB2312"/>
          <w:b/>
          <w:bCs/>
          <w:color w:val="000000"/>
          <w:sz w:val="32"/>
          <w:szCs w:val="32"/>
        </w:rPr>
        <w:t>主任会议听取</w:t>
      </w:r>
      <w:r>
        <w:rPr>
          <w:rFonts w:hint="eastAsia" w:ascii="仿宋_GB2312" w:hAnsi="仿宋_GB2312" w:eastAsia="仿宋_GB2312" w:cs="仿宋_GB2312"/>
          <w:color w:val="000000"/>
          <w:sz w:val="32"/>
          <w:szCs w:val="32"/>
        </w:rPr>
        <w:t>常委会重点督办建议（草案）、工作评议方案、2024年预算执行与2025年预算编制、政府债务管理、“铁山水资源保护”等财政有关专项资金细化审查、殡葬改革工作、2025年立法计划（草案）编制等情况报告。</w:t>
      </w:r>
    </w:p>
    <w:p>
      <w:pPr>
        <w:spacing w:line="600" w:lineRule="exact"/>
        <w:ind w:firstLine="643" w:firstLineChars="200"/>
        <w:rPr>
          <w:rFonts w:hint="eastAsia" w:ascii="仿宋_GB2312" w:eastAsia="仿宋_GB2312"/>
          <w:color w:val="000000"/>
          <w:sz w:val="32"/>
          <w:szCs w:val="32"/>
        </w:rPr>
      </w:pPr>
      <w:r>
        <w:rPr>
          <w:rFonts w:hint="eastAsia" w:ascii="楷体_GB2312" w:hAnsi="楷体_GB2312" w:eastAsia="楷体_GB2312" w:cs="楷体_GB2312"/>
          <w:b/>
          <w:bCs/>
          <w:color w:val="000000"/>
          <w:sz w:val="32"/>
          <w:szCs w:val="32"/>
          <w:shd w:val="clear" w:color="auto" w:fill="FFFFFF"/>
        </w:rPr>
        <w:t>9、开展工作评议。</w:t>
      </w:r>
      <w:r>
        <w:rPr>
          <w:rFonts w:hint="eastAsia" w:ascii="仿宋_GB2312" w:eastAsia="仿宋_GB2312"/>
          <w:color w:val="000000"/>
          <w:sz w:val="32"/>
          <w:szCs w:val="32"/>
        </w:rPr>
        <w:t>评议市发改委产业园区高质量发展、市信访局</w:t>
      </w:r>
      <w:r>
        <w:rPr>
          <w:rFonts w:hint="eastAsia" w:ascii="仿宋_GB2312" w:hAnsi="仿宋_GB2312" w:eastAsia="仿宋_GB2312" w:cs="仿宋_GB2312"/>
          <w:color w:val="000000"/>
          <w:sz w:val="32"/>
          <w:szCs w:val="32"/>
        </w:rPr>
        <w:t>信访工作法治化、</w:t>
      </w:r>
      <w:r>
        <w:rPr>
          <w:rFonts w:hint="eastAsia" w:ascii="仿宋_GB2312" w:eastAsia="仿宋_GB2312"/>
          <w:color w:val="000000"/>
          <w:sz w:val="32"/>
          <w:szCs w:val="32"/>
        </w:rPr>
        <w:t>市医保局医保基金监管、市教体局“双减一规”、市农业农村局高标准农田建设、代表建议办理情况工作。</w:t>
      </w:r>
    </w:p>
    <w:p>
      <w:pPr>
        <w:spacing w:line="600" w:lineRule="exact"/>
        <w:ind w:firstLine="643" w:firstLineChars="200"/>
        <w:rPr>
          <w:rFonts w:hint="eastAsia" w:ascii="楷体_GB2312" w:hAnsi="楷体_GB2312" w:eastAsia="楷体_GB2312" w:cs="楷体_GB2312"/>
          <w:b/>
          <w:bCs/>
          <w:color w:val="000000"/>
          <w:sz w:val="32"/>
          <w:szCs w:val="32"/>
          <w:shd w:val="clear" w:color="auto" w:fill="FFFFFF"/>
        </w:rPr>
      </w:pPr>
      <w:r>
        <w:rPr>
          <w:rFonts w:hint="eastAsia" w:ascii="楷体_GB2312" w:hAnsi="楷体_GB2312" w:eastAsia="楷体_GB2312" w:cs="楷体_GB2312"/>
          <w:b/>
          <w:bCs/>
          <w:color w:val="000000"/>
          <w:sz w:val="32"/>
          <w:szCs w:val="32"/>
          <w:shd w:val="clear" w:color="auto" w:fill="FFFFFF"/>
        </w:rPr>
        <w:t>10、开展市中级人民法院法官、市人民检察院检察官履职评议。</w:t>
      </w:r>
    </w:p>
    <w:p>
      <w:pPr>
        <w:spacing w:line="600" w:lineRule="exact"/>
        <w:ind w:firstLine="643" w:firstLineChars="200"/>
        <w:rPr>
          <w:rFonts w:ascii="仿宋_GB2312" w:eastAsia="仿宋_GB2312"/>
          <w:color w:val="000000"/>
          <w:sz w:val="32"/>
          <w:szCs w:val="32"/>
        </w:rPr>
      </w:pPr>
      <w:r>
        <w:rPr>
          <w:rFonts w:hint="eastAsia" w:ascii="楷体_GB2312" w:hAnsi="楷体_GB2312" w:eastAsia="楷体_GB2312" w:cs="楷体_GB2312"/>
          <w:b/>
          <w:bCs/>
          <w:color w:val="000000"/>
          <w:sz w:val="32"/>
          <w:szCs w:val="32"/>
          <w:shd w:val="clear" w:color="auto" w:fill="FFFFFF"/>
        </w:rPr>
        <w:t>11、开展专题询问。</w:t>
      </w:r>
      <w:r>
        <w:rPr>
          <w:rFonts w:hint="eastAsia" w:ascii="仿宋_GB2312" w:eastAsia="仿宋_GB2312"/>
          <w:color w:val="000000"/>
          <w:sz w:val="32"/>
          <w:szCs w:val="32"/>
        </w:rPr>
        <w:t>对市中心城区污水系统综合治理工作开展专题询问，助力美丽岳阳建设。</w:t>
      </w:r>
    </w:p>
    <w:p>
      <w:pPr>
        <w:spacing w:line="600" w:lineRule="exact"/>
        <w:ind w:firstLine="643" w:firstLineChars="200"/>
        <w:rPr>
          <w:rFonts w:hint="eastAsia" w:ascii="仿宋_GB2312" w:eastAsia="仿宋_GB2312"/>
          <w:color w:val="000000"/>
          <w:sz w:val="32"/>
          <w:szCs w:val="32"/>
        </w:rPr>
      </w:pPr>
      <w:r>
        <w:rPr>
          <w:rFonts w:hint="eastAsia" w:ascii="楷体_GB2312" w:hAnsi="楷体_GB2312" w:eastAsia="楷体_GB2312" w:cs="楷体_GB2312"/>
          <w:b/>
          <w:bCs/>
          <w:color w:val="000000"/>
          <w:sz w:val="32"/>
          <w:szCs w:val="32"/>
          <w:shd w:val="clear" w:color="auto" w:fill="FFFFFF"/>
        </w:rPr>
        <w:t>12、组织专题视察。</w:t>
      </w:r>
      <w:r>
        <w:rPr>
          <w:rFonts w:hint="eastAsia" w:ascii="仿宋_GB2312" w:eastAsia="仿宋_GB2312"/>
          <w:color w:val="000000"/>
          <w:sz w:val="32"/>
          <w:szCs w:val="32"/>
        </w:rPr>
        <w:t>组织在岳全国、省人大代表集中视察。</w:t>
      </w:r>
    </w:p>
    <w:p>
      <w:pPr>
        <w:spacing w:line="600" w:lineRule="exact"/>
        <w:ind w:firstLine="643" w:firstLineChars="200"/>
        <w:rPr>
          <w:rFonts w:hint="eastAsia" w:ascii="仿宋_GB2312" w:eastAsia="仿宋_GB2312"/>
          <w:color w:val="000000"/>
          <w:sz w:val="32"/>
          <w:szCs w:val="32"/>
        </w:rPr>
      </w:pPr>
      <w:r>
        <w:rPr>
          <w:rFonts w:hint="eastAsia" w:ascii="楷体_GB2312" w:hAnsi="楷体_GB2312" w:eastAsia="楷体_GB2312" w:cs="楷体_GB2312"/>
          <w:b/>
          <w:bCs/>
          <w:color w:val="000000"/>
          <w:sz w:val="32"/>
          <w:szCs w:val="32"/>
          <w:shd w:val="clear" w:color="auto" w:fill="FFFFFF"/>
        </w:rPr>
        <w:t>13、开展专题调研。</w:t>
      </w:r>
      <w:r>
        <w:rPr>
          <w:rFonts w:hint="eastAsia" w:ascii="仿宋_GB2312" w:eastAsia="仿宋_GB2312"/>
          <w:color w:val="000000"/>
          <w:sz w:val="32"/>
          <w:szCs w:val="32"/>
        </w:rPr>
        <w:t>专题调研多式联运物流体系建设、综合立体交通建设、三资运作改革成效、农村村级债务、民族宗教事务、文旅产业项目运营、长江保护法实施、法治政府建设、人民陪审员工作、经济犯罪侦查、行政复议、市直公立医院综合改革和高质量发展、制定爱国卫生地方性法规的可行性、种业发展、巩固拓展脱贫攻坚同乡村振兴有效衔接工作情况。督导全市禁毒问题顽瘴痼疾集中整治专项行动。组织在岳全国、省人大代表开展专题调研。</w:t>
      </w:r>
    </w:p>
    <w:p>
      <w:pPr>
        <w:spacing w:line="600" w:lineRule="exact"/>
        <w:ind w:firstLine="640" w:firstLineChars="200"/>
        <w:rPr>
          <w:rFonts w:hint="eastAsia" w:eastAsia="黑体"/>
          <w:color w:val="000000"/>
          <w:sz w:val="32"/>
          <w:szCs w:val="32"/>
        </w:rPr>
      </w:pPr>
      <w:r>
        <w:rPr>
          <w:rFonts w:hint="eastAsia" w:eastAsia="黑体"/>
          <w:color w:val="000000"/>
          <w:sz w:val="32"/>
          <w:szCs w:val="32"/>
        </w:rPr>
        <w:t>四、依法做好讨论决定重大事项和选举任免工作</w:t>
      </w:r>
    </w:p>
    <w:p>
      <w:pPr>
        <w:spacing w:line="600" w:lineRule="exact"/>
        <w:ind w:firstLine="645"/>
        <w:rPr>
          <w:rFonts w:ascii="仿宋_GB2312" w:eastAsia="仿宋_GB2312"/>
          <w:color w:val="000000"/>
          <w:sz w:val="32"/>
          <w:szCs w:val="32"/>
        </w:rPr>
      </w:pPr>
      <w:r>
        <w:rPr>
          <w:rFonts w:hint="eastAsia" w:ascii="楷体_GB2312" w:hAnsi="楷体_GB2312" w:eastAsia="楷体_GB2312" w:cs="楷体_GB2312"/>
          <w:b/>
          <w:bCs/>
          <w:color w:val="000000"/>
          <w:sz w:val="32"/>
          <w:szCs w:val="32"/>
        </w:rPr>
        <w:t>14、聚焦大事要事行使好重大事项决定权。</w:t>
      </w:r>
      <w:r>
        <w:rPr>
          <w:rFonts w:hint="eastAsia" w:ascii="仿宋_GB2312" w:eastAsia="仿宋_GB2312"/>
          <w:color w:val="000000"/>
          <w:sz w:val="32"/>
          <w:szCs w:val="32"/>
        </w:rPr>
        <w:t>作出《关于大力发展现代化工新材料产业的决定》《关于深入推进全市涉案企业合规改革的决定》《关于批准2023年市级决算的决议》《关于批准2024年市级预算调整方案的决议》等。督促市九届人大四次会议通过的七个决议、《关于推进高质量发展 奋力开创省域副中心城市建设新局面的决议》《关于设立“岳阳楼日”的决定》等落地落实。根据听取和审议专项工作报告、执法检查报告、审计工作报告情况，适时作出关于重大事项的决议决定，推动工作落实。</w:t>
      </w:r>
    </w:p>
    <w:p>
      <w:pPr>
        <w:spacing w:line="600" w:lineRule="exact"/>
        <w:ind w:firstLine="645"/>
        <w:rPr>
          <w:rFonts w:hint="eastAsia" w:ascii="仿宋_GB2312" w:eastAsia="仿宋_GB2312"/>
          <w:color w:val="000000"/>
          <w:sz w:val="32"/>
          <w:szCs w:val="32"/>
        </w:rPr>
      </w:pPr>
      <w:r>
        <w:rPr>
          <w:rFonts w:hint="eastAsia" w:ascii="楷体_GB2312" w:hAnsi="楷体_GB2312" w:eastAsia="楷体_GB2312" w:cs="楷体_GB2312"/>
          <w:b/>
          <w:bCs/>
          <w:color w:val="000000"/>
          <w:sz w:val="32"/>
          <w:szCs w:val="32"/>
        </w:rPr>
        <w:t>15、在党的领导下依法行使选举任免权。</w:t>
      </w:r>
      <w:r>
        <w:rPr>
          <w:rFonts w:hint="eastAsia" w:ascii="仿宋_GB2312" w:eastAsia="仿宋_GB2312"/>
          <w:color w:val="000000"/>
          <w:sz w:val="32"/>
          <w:szCs w:val="32"/>
        </w:rPr>
        <w:t>坚持党管干部原则和人大依法任免相统一，确保党委人事安排意图圆满实现，确保党组织推荐的人选通过法定程序成为国家机关工作人员。强化任后监督，出台《对市人大及其常委会选举、任命的国家工作人员加强监督的办法》，更好履行法定职责。</w:t>
      </w:r>
    </w:p>
    <w:p>
      <w:pPr>
        <w:spacing w:line="600" w:lineRule="exact"/>
        <w:ind w:firstLine="640" w:firstLineChars="200"/>
        <w:rPr>
          <w:rFonts w:ascii="仿宋_GB2312" w:hAnsi="Calibri" w:eastAsia="黑体"/>
          <w:color w:val="000000"/>
          <w:sz w:val="32"/>
          <w:szCs w:val="32"/>
        </w:rPr>
      </w:pPr>
      <w:r>
        <w:rPr>
          <w:rFonts w:hint="eastAsia" w:eastAsia="黑体"/>
          <w:color w:val="000000"/>
          <w:sz w:val="32"/>
          <w:szCs w:val="32"/>
        </w:rPr>
        <w:t>五、纵深推进全过程人民民主的岳阳实践</w:t>
      </w:r>
    </w:p>
    <w:p>
      <w:pPr>
        <w:spacing w:line="600" w:lineRule="exact"/>
        <w:ind w:firstLine="645"/>
        <w:rPr>
          <w:rFonts w:ascii="仿宋_GB2312" w:eastAsia="仿宋_GB2312"/>
          <w:color w:val="000000"/>
          <w:sz w:val="32"/>
          <w:szCs w:val="32"/>
        </w:rPr>
      </w:pPr>
      <w:r>
        <w:rPr>
          <w:rFonts w:hint="eastAsia" w:ascii="楷体_GB2312" w:hAnsi="楷体_GB2312" w:eastAsia="楷体_GB2312" w:cs="楷体_GB2312"/>
          <w:b/>
          <w:bCs/>
          <w:color w:val="000000"/>
          <w:sz w:val="32"/>
          <w:szCs w:val="32"/>
        </w:rPr>
        <w:t>16、拓展深化“双联”工作。</w:t>
      </w:r>
      <w:r>
        <w:rPr>
          <w:rFonts w:hint="eastAsia" w:ascii="仿宋_GB2312" w:eastAsia="仿宋_GB2312"/>
          <w:b/>
          <w:bCs/>
          <w:color w:val="000000"/>
          <w:sz w:val="32"/>
          <w:szCs w:val="32"/>
        </w:rPr>
        <w:t>加强常委会同人大代表联系，</w:t>
      </w:r>
      <w:r>
        <w:rPr>
          <w:rFonts w:hint="eastAsia" w:ascii="仿宋_GB2312" w:eastAsia="仿宋_GB2312"/>
          <w:color w:val="000000"/>
          <w:sz w:val="32"/>
          <w:szCs w:val="32"/>
        </w:rPr>
        <w:t>常委会组成人员通过“走出去、请进来”的方式与代表进行面对面联系，通过电话、微信、短信等方式保持经常性联系。常态化邀请人大代表列席常委会会议及有关活动；</w:t>
      </w:r>
      <w:r>
        <w:rPr>
          <w:rFonts w:hint="eastAsia" w:ascii="仿宋_GB2312" w:eastAsia="仿宋_GB2312"/>
          <w:b/>
          <w:bCs/>
          <w:color w:val="000000"/>
          <w:sz w:val="32"/>
          <w:szCs w:val="32"/>
        </w:rPr>
        <w:t>密切人大代表同人民群众联系，</w:t>
      </w:r>
      <w:r>
        <w:rPr>
          <w:rFonts w:hint="eastAsia" w:ascii="仿宋_GB2312" w:eastAsia="仿宋_GB2312"/>
          <w:color w:val="000000"/>
          <w:sz w:val="32"/>
          <w:szCs w:val="32"/>
        </w:rPr>
        <w:t>推动代表联络站“建管用”升级，制定《人大代表联络站工作的实施办法》，通过</w:t>
      </w:r>
      <w:r>
        <w:rPr>
          <w:rFonts w:ascii="仿宋_GB2312" w:eastAsia="仿宋_GB2312"/>
          <w:color w:val="000000"/>
          <w:sz w:val="32"/>
          <w:szCs w:val="32"/>
        </w:rPr>
        <w:t>以集体形式开展代表小组活动</w:t>
      </w:r>
      <w:r>
        <w:rPr>
          <w:rFonts w:hint="eastAsia" w:ascii="仿宋_GB2312" w:eastAsia="仿宋_GB2312"/>
          <w:color w:val="000000"/>
          <w:sz w:val="32"/>
          <w:szCs w:val="32"/>
        </w:rPr>
        <w:t>、代表接待选民日、码上找代表、召开座谈会等形式，就地就近组织代表进站履职。</w:t>
      </w:r>
      <w:r>
        <w:rPr>
          <w:rFonts w:ascii="仿宋_GB2312" w:eastAsia="仿宋_GB2312"/>
          <w:color w:val="000000"/>
          <w:sz w:val="32"/>
          <w:szCs w:val="32"/>
        </w:rPr>
        <w:t>激活专业代表小组活动机制，</w:t>
      </w:r>
      <w:r>
        <w:rPr>
          <w:rFonts w:hint="eastAsia" w:ascii="仿宋_GB2312" w:eastAsia="仿宋_GB2312"/>
          <w:color w:val="000000"/>
          <w:sz w:val="32"/>
          <w:szCs w:val="32"/>
        </w:rPr>
        <w:t>发挥代表职业、行业、专业优势，引导</w:t>
      </w:r>
      <w:r>
        <w:rPr>
          <w:rFonts w:ascii="仿宋_GB2312" w:eastAsia="仿宋_GB2312"/>
          <w:color w:val="000000"/>
          <w:sz w:val="32"/>
          <w:szCs w:val="32"/>
        </w:rPr>
        <w:t>市县两级专业代表小组各以一个代表联络站为依托，开展具有专业特质的代表活动</w:t>
      </w:r>
      <w:r>
        <w:rPr>
          <w:rFonts w:hint="eastAsia" w:ascii="仿宋_GB2312" w:eastAsia="仿宋_GB2312"/>
          <w:color w:val="000000"/>
          <w:sz w:val="32"/>
          <w:szCs w:val="32"/>
        </w:rPr>
        <w:t>。推动民生实事项目人大代表票决制工作规范化、常态化，年底实现县区全覆盖。</w:t>
      </w:r>
    </w:p>
    <w:p>
      <w:pPr>
        <w:spacing w:line="600" w:lineRule="exact"/>
        <w:ind w:firstLine="645"/>
        <w:rPr>
          <w:rFonts w:ascii="仿宋_GB2312" w:eastAsia="仿宋_GB2312"/>
          <w:color w:val="000000"/>
          <w:sz w:val="32"/>
          <w:szCs w:val="32"/>
        </w:rPr>
      </w:pPr>
      <w:r>
        <w:rPr>
          <w:rFonts w:hint="eastAsia" w:ascii="楷体_GB2312" w:hAnsi="楷体_GB2312" w:eastAsia="楷体_GB2312" w:cs="楷体_GB2312"/>
          <w:b/>
          <w:bCs/>
          <w:color w:val="000000"/>
          <w:sz w:val="32"/>
          <w:szCs w:val="32"/>
        </w:rPr>
        <w:t>17、推深做实“两个高质量”。</w:t>
      </w:r>
      <w:r>
        <w:rPr>
          <w:rFonts w:hint="eastAsia" w:ascii="仿宋_GB2312" w:eastAsia="仿宋_GB2312"/>
          <w:b/>
          <w:bCs/>
          <w:color w:val="000000"/>
          <w:sz w:val="32"/>
          <w:szCs w:val="32"/>
        </w:rPr>
        <w:t>突出“内容高质量”，</w:t>
      </w:r>
      <w:r>
        <w:rPr>
          <w:rFonts w:hint="eastAsia" w:ascii="仿宋_GB2312" w:eastAsia="仿宋_GB2312"/>
          <w:color w:val="000000"/>
          <w:sz w:val="32"/>
          <w:szCs w:val="32"/>
        </w:rPr>
        <w:t>按照紧密结合本地实际、符合法律法规要求、与市县工作部署无缝对接、强化调查研究等四个方面做好代表建议提出准备工作，为形成高质量代表建议做好基础性工作。加强议案建议审核把关，协助代表修改完善，做实做细议案建议“并改转退”工作，推动代表议案建议“提质减量”。引导代表通过“12345”热线等方式反映社情民意，推动解决人民群众的急难愁盼问题；</w:t>
      </w:r>
      <w:r>
        <w:rPr>
          <w:rFonts w:hint="eastAsia" w:ascii="仿宋_GB2312" w:eastAsia="仿宋_GB2312"/>
          <w:b/>
          <w:bCs/>
          <w:color w:val="000000"/>
          <w:sz w:val="32"/>
          <w:szCs w:val="32"/>
        </w:rPr>
        <w:t>突出“办理高质量”，</w:t>
      </w:r>
      <w:r>
        <w:rPr>
          <w:rFonts w:hint="eastAsia" w:ascii="仿宋_GB2312" w:eastAsia="仿宋_GB2312"/>
          <w:color w:val="000000"/>
          <w:sz w:val="32"/>
          <w:szCs w:val="32"/>
        </w:rPr>
        <w:t>修订完善代表建议办理流程和评价机制，出台《市人大代表建议工作流程》。邀请更多非职务代表参与代表建议办理工作专项评议。推进代表建议和公益诉讼检察建议双向衔接转化深入实施。</w:t>
      </w:r>
    </w:p>
    <w:p>
      <w:pPr>
        <w:spacing w:line="600" w:lineRule="exact"/>
        <w:ind w:firstLine="645"/>
        <w:rPr>
          <w:rFonts w:hint="eastAsia" w:ascii="仿宋_GB2312" w:eastAsia="仿宋_GB2312"/>
          <w:color w:val="000000"/>
          <w:sz w:val="32"/>
          <w:szCs w:val="32"/>
        </w:rPr>
      </w:pPr>
      <w:r>
        <w:rPr>
          <w:rFonts w:hint="eastAsia" w:ascii="楷体_GB2312" w:hAnsi="楷体_GB2312" w:eastAsia="楷体_GB2312" w:cs="楷体_GB2312"/>
          <w:b/>
          <w:bCs/>
          <w:color w:val="000000"/>
          <w:sz w:val="32"/>
          <w:szCs w:val="32"/>
        </w:rPr>
        <w:t>18、强化代表工作能力建设。</w:t>
      </w:r>
      <w:r>
        <w:rPr>
          <w:rFonts w:hint="eastAsia" w:ascii="仿宋_GB2312" w:eastAsia="仿宋_GB2312"/>
          <w:b/>
          <w:bCs/>
          <w:color w:val="000000"/>
          <w:sz w:val="32"/>
          <w:szCs w:val="32"/>
        </w:rPr>
        <w:t>加强学习培训，</w:t>
      </w:r>
      <w:r>
        <w:rPr>
          <w:rFonts w:hint="eastAsia" w:ascii="仿宋_GB2312" w:eastAsia="仿宋_GB2312"/>
          <w:color w:val="000000"/>
          <w:sz w:val="32"/>
          <w:szCs w:val="32"/>
        </w:rPr>
        <w:t>举办市人大代表履职培训班，确保市人大代表届内轮训1次以上。</w:t>
      </w:r>
      <w:r>
        <w:rPr>
          <w:rFonts w:hint="eastAsia" w:ascii="仿宋_GB2312" w:eastAsia="仿宋_GB2312"/>
          <w:b/>
          <w:bCs/>
          <w:color w:val="000000"/>
          <w:sz w:val="32"/>
          <w:szCs w:val="32"/>
        </w:rPr>
        <w:t>加强服务管理，</w:t>
      </w:r>
      <w:r>
        <w:rPr>
          <w:rFonts w:hint="eastAsia" w:ascii="仿宋_GB2312" w:eastAsia="仿宋_GB2312"/>
          <w:color w:val="000000"/>
          <w:sz w:val="32"/>
          <w:szCs w:val="32"/>
        </w:rPr>
        <w:t>组织开展省、市两级人大代表到原选举单位报告履职情况，县、乡两级人大代表向原选区选民报告履职情况。进一步规范代表履职档案登记和管理，对代表履职工作建档立卡，年底开展履职评价。</w:t>
      </w:r>
    </w:p>
    <w:p>
      <w:pPr>
        <w:spacing w:line="600" w:lineRule="exact"/>
        <w:ind w:firstLine="645"/>
        <w:rPr>
          <w:rFonts w:hint="eastAsia" w:ascii="黑体" w:hAnsi="黑体" w:eastAsia="黑体" w:cs="黑体"/>
          <w:color w:val="000000"/>
          <w:sz w:val="32"/>
          <w:szCs w:val="32"/>
        </w:rPr>
      </w:pPr>
      <w:r>
        <w:rPr>
          <w:rFonts w:hint="eastAsia" w:ascii="黑体" w:hAnsi="黑体" w:eastAsia="黑体" w:cs="黑体"/>
          <w:color w:val="000000"/>
          <w:sz w:val="32"/>
          <w:szCs w:val="32"/>
        </w:rPr>
        <w:t>六、不断加强常委会及机关自身建设</w:t>
      </w:r>
    </w:p>
    <w:p>
      <w:pPr>
        <w:pStyle w:val="6"/>
        <w:widowControl w:val="0"/>
        <w:spacing w:before="0" w:beforeAutospacing="0" w:after="0" w:afterAutospacing="0" w:line="600" w:lineRule="exact"/>
        <w:ind w:firstLine="643" w:firstLineChars="200"/>
        <w:jc w:val="both"/>
        <w:rPr>
          <w:rFonts w:hint="eastAsia" w:ascii="仿宋_GB2312" w:hAnsi="Times New Roman" w:eastAsia="仿宋_GB2312" w:cs="Times New Roman"/>
          <w:color w:val="000000"/>
          <w:kern w:val="2"/>
          <w:sz w:val="32"/>
          <w:szCs w:val="32"/>
        </w:rPr>
      </w:pPr>
      <w:r>
        <w:rPr>
          <w:rFonts w:hint="eastAsia" w:ascii="楷体_GB2312" w:hAnsi="楷体_GB2312" w:eastAsia="楷体_GB2312" w:cs="楷体_GB2312"/>
          <w:b/>
          <w:bCs/>
          <w:color w:val="000000"/>
          <w:kern w:val="2"/>
          <w:sz w:val="32"/>
          <w:szCs w:val="32"/>
        </w:rPr>
        <w:t>19、着力“强党建”。</w:t>
      </w:r>
      <w:r>
        <w:rPr>
          <w:rFonts w:hint="eastAsia" w:ascii="仿宋_GB2312" w:hAnsi="Times New Roman" w:eastAsia="仿宋_GB2312" w:cs="Times New Roman"/>
          <w:color w:val="000000"/>
          <w:kern w:val="2"/>
          <w:sz w:val="32"/>
          <w:szCs w:val="32"/>
        </w:rPr>
        <w:t>巩固深化主题教育成果，切实转化为推动人大工作的强大动力，压紧压实党建工作、意识形态工作责任制，实施“双强双带”工程，充分发挥党员先锋模范作用和基层党组织战斗堡垒作用，强化机关全国文明单位常态化建设，严格落实全面从严治党主体责任，驰而不息加强党风廉政和作风建设，纵深推进“清廉人大”建设。</w:t>
      </w:r>
    </w:p>
    <w:p>
      <w:pPr>
        <w:pStyle w:val="6"/>
        <w:widowControl w:val="0"/>
        <w:spacing w:before="0" w:beforeAutospacing="0" w:after="0" w:afterAutospacing="0" w:line="600" w:lineRule="exact"/>
        <w:ind w:firstLine="643" w:firstLineChars="200"/>
        <w:jc w:val="both"/>
        <w:rPr>
          <w:rFonts w:ascii="仿宋_GB2312" w:hAnsi="Times New Roman" w:eastAsia="仿宋_GB2312" w:cs="Times New Roman"/>
          <w:color w:val="000000"/>
          <w:kern w:val="2"/>
          <w:sz w:val="32"/>
          <w:szCs w:val="32"/>
        </w:rPr>
      </w:pPr>
      <w:r>
        <w:rPr>
          <w:rFonts w:hint="eastAsia" w:ascii="楷体_GB2312" w:hAnsi="楷体_GB2312" w:eastAsia="楷体_GB2312" w:cs="楷体_GB2312"/>
          <w:b/>
          <w:bCs/>
          <w:color w:val="000000"/>
          <w:kern w:val="2"/>
          <w:sz w:val="32"/>
          <w:szCs w:val="32"/>
        </w:rPr>
        <w:t>20、着力“重创新”。</w:t>
      </w:r>
      <w:r>
        <w:rPr>
          <w:rFonts w:hint="eastAsia" w:ascii="仿宋_GB2312" w:hAnsi="Times New Roman" w:eastAsia="仿宋_GB2312" w:cs="Times New Roman"/>
          <w:color w:val="000000"/>
          <w:kern w:val="2"/>
          <w:sz w:val="32"/>
          <w:szCs w:val="32"/>
        </w:rPr>
        <w:t>召开长江流域五省十五市关于促进产业发展专题人大协作交流机制主任联席会议。统筹安排人大干部专业培训，提升创新履职能力。开展全市人大代表履职先进个人、人大工作先进个人、优秀议案建议及办理优秀单位、示范性代表联络站、“监督好案例”、人大优秀调研成果、人大好新闻等系列评选，及时总结、提炼、推广各级人大工作好经验好做法，扩大岳阳人大工作影响力。开展预算绩效“两问四评”，提质预算监督。制定加强人大对经开区等非行政区的财经监督具体实施方案。组建全市人大司法监督专家库，提升人大司法监督工作质效。探索巡察监督、审计监督与人大监督贯通协调，形成监督合力。推广乡镇人大“季度清单”工作法，推进县乡人大工作规范化、制度化。探索党委和“一府一委两院”领导班子成员及部门主要负责人联系人大代表制度，试点公民旁听制度。</w:t>
      </w:r>
    </w:p>
    <w:p>
      <w:pPr>
        <w:pStyle w:val="6"/>
        <w:widowControl w:val="0"/>
        <w:spacing w:before="0" w:beforeAutospacing="0" w:after="0" w:afterAutospacing="0" w:line="600" w:lineRule="exact"/>
        <w:ind w:firstLine="643" w:firstLineChars="200"/>
        <w:jc w:val="both"/>
        <w:rPr>
          <w:rFonts w:hint="eastAsia" w:ascii="仿宋_GB2312" w:hAnsi="Times New Roman" w:eastAsia="仿宋_GB2312" w:cs="Times New Roman"/>
          <w:color w:val="000000"/>
          <w:kern w:val="2"/>
          <w:sz w:val="32"/>
          <w:szCs w:val="32"/>
        </w:rPr>
      </w:pPr>
      <w:r>
        <w:rPr>
          <w:rFonts w:hint="eastAsia" w:ascii="楷体_GB2312" w:hAnsi="楷体_GB2312" w:eastAsia="楷体_GB2312" w:cs="楷体_GB2312"/>
          <w:b/>
          <w:bCs/>
          <w:color w:val="000000"/>
          <w:kern w:val="2"/>
          <w:sz w:val="32"/>
          <w:szCs w:val="32"/>
        </w:rPr>
        <w:t>21、着力“提质效”。</w:t>
      </w:r>
      <w:r>
        <w:rPr>
          <w:rFonts w:hint="eastAsia" w:ascii="仿宋_GB2312" w:hAnsi="Times New Roman" w:eastAsia="仿宋_GB2312" w:cs="Times New Roman"/>
          <w:color w:val="000000"/>
          <w:kern w:val="2"/>
          <w:sz w:val="32"/>
          <w:szCs w:val="32"/>
        </w:rPr>
        <w:t>完善常委会审议意见卡制度，提高常委会会议审议质量。打造督办工作“闭环”，推动常委会重点工作和常委会党组、主任会议议定事项落实落地。加快“智慧人大”建设，提升工作效率。</w:t>
      </w:r>
    </w:p>
    <w:p>
      <w:pPr>
        <w:pStyle w:val="14"/>
        <w:spacing w:line="600" w:lineRule="exact"/>
        <w:ind w:firstLine="643"/>
        <w:rPr>
          <w:rFonts w:hint="eastAsia" w:ascii="仿宋_GB2312" w:eastAsia="仿宋_GB2312"/>
          <w:color w:val="000000"/>
          <w:sz w:val="32"/>
          <w:szCs w:val="32"/>
        </w:rPr>
      </w:pPr>
      <w:r>
        <w:rPr>
          <w:rFonts w:hint="eastAsia" w:ascii="楷体_GB2312" w:hAnsi="楷体_GB2312" w:eastAsia="楷体_GB2312" w:cs="楷体_GB2312"/>
          <w:b/>
          <w:bCs/>
          <w:color w:val="000000"/>
          <w:sz w:val="32"/>
          <w:szCs w:val="32"/>
        </w:rPr>
        <w:t>22、着力“激活力”。</w:t>
      </w:r>
      <w:r>
        <w:rPr>
          <w:rFonts w:hint="eastAsia" w:ascii="仿宋_GB2312" w:eastAsia="仿宋_GB2312"/>
          <w:color w:val="000000"/>
          <w:sz w:val="32"/>
          <w:szCs w:val="32"/>
        </w:rPr>
        <w:t>坚持新时代好干部标准，加强人大干部学习教育、培养历练、轮岗交流。建成用好人大文化展陈室，打造“人大读书角”，推进机关全国文明单位常态化建设。树牢“一盘棋”思想，加大对县乡人大工作的指导力度，推进《湖南省乡镇人民代表大会工作条例》《湖南省县级人民代表大会常务委员会街道工作委员会工作条例》贯彻实施。</w:t>
      </w:r>
    </w:p>
    <w:p>
      <w:pPr>
        <w:pStyle w:val="2"/>
        <w:bidi w:val="0"/>
        <w:ind w:left="0" w:leftChars="0" w:firstLine="0" w:firstLineChars="0"/>
        <w:rPr>
          <w:rFonts w:hint="eastAsia"/>
          <w:lang w:val="en-US" w:eastAsia="en-US"/>
        </w:rPr>
      </w:pPr>
      <w:r>
        <w:rPr>
          <w:rFonts w:hint="eastAsia"/>
          <w:lang w:val="en-US" w:eastAsia="en-US"/>
        </w:rPr>
        <w:t>九、其他需要说明的情况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9"/>
        <w:sz w:val="24"/>
        <w:szCs w:val="24"/>
      </w:rPr>
    </w:pPr>
    <w:r>
      <w:rPr>
        <w:rStyle w:val="9"/>
        <w:rFonts w:hint="eastAsia"/>
        <w:sz w:val="24"/>
        <w:szCs w:val="24"/>
      </w:rPr>
      <w:t xml:space="preserve">— </w:t>
    </w:r>
    <w:r>
      <w:rPr>
        <w:sz w:val="24"/>
        <w:szCs w:val="24"/>
      </w:rPr>
      <w:fldChar w:fldCharType="begin"/>
    </w:r>
    <w:r>
      <w:rPr>
        <w:rStyle w:val="9"/>
        <w:sz w:val="24"/>
        <w:szCs w:val="24"/>
      </w:rPr>
      <w:instrText xml:space="preserve">PAGE  </w:instrText>
    </w:r>
    <w:r>
      <w:rPr>
        <w:sz w:val="24"/>
        <w:szCs w:val="24"/>
      </w:rPr>
      <w:fldChar w:fldCharType="separate"/>
    </w:r>
    <w:r>
      <w:rPr>
        <w:rStyle w:val="9"/>
        <w:sz w:val="24"/>
        <w:szCs w:val="24"/>
      </w:rPr>
      <w:t>2</w:t>
    </w:r>
    <w:r>
      <w:rPr>
        <w:sz w:val="24"/>
        <w:szCs w:val="24"/>
      </w:rPr>
      <w:fldChar w:fldCharType="end"/>
    </w:r>
    <w:r>
      <w:rPr>
        <w:rStyle w:val="9"/>
        <w:rFonts w:hint="eastAsia"/>
        <w:sz w:val="24"/>
        <w:szCs w:val="24"/>
      </w:rPr>
      <w:t xml:space="preserve"> —</w:t>
    </w:r>
  </w:p>
  <w:p>
    <w:pP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outside" w:y="1"/>
    </w:pPr>
    <w:r>
      <w:fldChar w:fldCharType="begin"/>
    </w:r>
    <w:r>
      <w:instrText xml:space="preserve">PAGE  </w:instrText>
    </w:r>
    <w:r>
      <w:fldChar w:fldCharType="separate"/>
    </w:r>
    <w:r>
      <w:t>- 15 -</w:t>
    </w:r>
    <w:r>
      <w:fldChar w:fldCharType="end"/>
    </w:r>
  </w:p>
  <w:p>
    <w:pPr>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976376"/>
    <w:multiLevelType w:val="singleLevel"/>
    <w:tmpl w:val="DC976376"/>
    <w:lvl w:ilvl="0" w:tentative="0">
      <w:start w:val="2"/>
      <w:numFmt w:val="chineseCounting"/>
      <w:suff w:val="nothing"/>
      <w:lvlText w:val="%1、"/>
      <w:lvlJc w:val="left"/>
      <w:rPr>
        <w:rFonts w:hint="eastAsia"/>
      </w:rPr>
    </w:lvl>
  </w:abstractNum>
  <w:abstractNum w:abstractNumId="1">
    <w:nsid w:val="387498EA"/>
    <w:multiLevelType w:val="singleLevel"/>
    <w:tmpl w:val="387498EA"/>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5NmFjMmM4ZTljMGJiZDAxN2JmYTc0NGI0NmFiNDgifQ=="/>
  </w:docVars>
  <w:rsids>
    <w:rsidRoot w:val="00000000"/>
    <w:rsid w:val="03AA1A5C"/>
    <w:rsid w:val="186A0D56"/>
    <w:rsid w:val="1D470521"/>
    <w:rsid w:val="2AB54840"/>
    <w:rsid w:val="2DD67B47"/>
    <w:rsid w:val="41203882"/>
    <w:rsid w:val="42075CA8"/>
    <w:rsid w:val="45795F75"/>
    <w:rsid w:val="4E8B1F67"/>
    <w:rsid w:val="596423C7"/>
    <w:rsid w:val="5CC772D2"/>
    <w:rsid w:val="624A5785"/>
    <w:rsid w:val="624F2C18"/>
    <w:rsid w:val="63660064"/>
    <w:rsid w:val="63E53BC8"/>
    <w:rsid w:val="64673F7C"/>
    <w:rsid w:val="6B38404F"/>
    <w:rsid w:val="73C70602"/>
    <w:rsid w:val="7AAC2882"/>
    <w:rsid w:val="7C582B10"/>
    <w:rsid w:val="7DED5D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Lines="0" w:beforeAutospacing="0" w:afterLines="0" w:afterAutospacing="0" w:line="560" w:lineRule="exact"/>
      <w:ind w:firstLine="640" w:firstLineChars="200"/>
      <w:outlineLvl w:val="0"/>
    </w:pPr>
    <w:rPr>
      <w:rFonts w:eastAsia="黑体" w:asciiTheme="minorAscii" w:hAnsiTheme="minorAscii"/>
      <w:b/>
      <w:kern w:val="44"/>
      <w:sz w:val="32"/>
    </w:rPr>
  </w:style>
  <w:style w:type="paragraph" w:styleId="3">
    <w:name w:val="heading 2"/>
    <w:basedOn w:val="1"/>
    <w:next w:val="1"/>
    <w:autoRedefine/>
    <w:unhideWhenUsed/>
    <w:qFormat/>
    <w:uiPriority w:val="0"/>
    <w:pPr>
      <w:keepNext/>
      <w:keepLines/>
      <w:spacing w:line="560" w:lineRule="exact"/>
      <w:ind w:firstLine="200" w:firstLineChars="200"/>
      <w:outlineLvl w:val="1"/>
    </w:pPr>
    <w:rPr>
      <w:rFonts w:eastAsia="楷体_GB2312" w:asciiTheme="majorAscii" w:hAnsiTheme="majorAscii" w:cstheme="majorBidi"/>
      <w:b/>
      <w:bCs/>
      <w:sz w:val="32"/>
      <w:szCs w:val="32"/>
    </w:rPr>
  </w:style>
  <w:style w:type="paragraph" w:styleId="4">
    <w:name w:val="heading 3"/>
    <w:basedOn w:val="1"/>
    <w:next w:val="1"/>
    <w:autoRedefine/>
    <w:unhideWhenUsed/>
    <w:qFormat/>
    <w:uiPriority w:val="0"/>
    <w:pPr>
      <w:keepNext/>
      <w:keepLines/>
      <w:spacing w:beforeLines="0" w:beforeAutospacing="0" w:afterLines="0" w:afterAutospacing="0" w:line="560" w:lineRule="exact"/>
      <w:ind w:firstLine="640" w:firstLineChars="200"/>
      <w:outlineLvl w:val="2"/>
    </w:pPr>
    <w:rPr>
      <w:rFonts w:eastAsia="仿宋_GB2312" w:asciiTheme="minorAscii" w:hAnsiTheme="minorAscii"/>
      <w:sz w:val="32"/>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5">
    <w:name w:val="footer"/>
    <w:basedOn w:val="1"/>
    <w:autoRedefine/>
    <w:qFormat/>
    <w:uiPriority w:val="0"/>
    <w:pPr>
      <w:tabs>
        <w:tab w:val="center" w:pos="4153"/>
        <w:tab w:val="right" w:pos="8306"/>
      </w:tabs>
      <w:snapToGrid w:val="0"/>
      <w:jc w:val="left"/>
    </w:pPr>
    <w:rPr>
      <w:kern w:val="0"/>
      <w:sz w:val="18"/>
      <w:szCs w:val="18"/>
    </w:rPr>
  </w:style>
  <w:style w:type="paragraph" w:styleId="6">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9">
    <w:name w:val="page number"/>
    <w:autoRedefine/>
    <w:qFormat/>
    <w:uiPriority w:val="0"/>
  </w:style>
  <w:style w:type="paragraph" w:customStyle="1" w:styleId="10">
    <w:name w:val="BodyText1I2"/>
    <w:basedOn w:val="11"/>
    <w:autoRedefine/>
    <w:qFormat/>
    <w:uiPriority w:val="0"/>
    <w:pPr>
      <w:spacing w:before="100" w:beforeAutospacing="1" w:after="0"/>
      <w:ind w:left="0" w:firstLine="420" w:firstLineChars="200"/>
    </w:pPr>
    <w:rPr>
      <w:rFonts w:ascii="Calibri" w:hAnsi="Calibri"/>
    </w:rPr>
  </w:style>
  <w:style w:type="paragraph" w:customStyle="1" w:styleId="11">
    <w:name w:val="BodyTextIndent"/>
    <w:basedOn w:val="1"/>
    <w:autoRedefine/>
    <w:qFormat/>
    <w:uiPriority w:val="0"/>
    <w:pPr>
      <w:spacing w:after="120"/>
      <w:ind w:left="420" w:leftChars="200"/>
    </w:pPr>
  </w:style>
  <w:style w:type="paragraph" w:customStyle="1" w:styleId="12">
    <w:name w:val="BodyText1I"/>
    <w:basedOn w:val="1"/>
    <w:autoRedefine/>
    <w:qFormat/>
    <w:uiPriority w:val="99"/>
    <w:pPr>
      <w:snapToGrid w:val="0"/>
      <w:spacing w:line="360" w:lineRule="auto"/>
      <w:ind w:firstLine="420" w:firstLineChars="100"/>
    </w:pPr>
    <w:rPr>
      <w:sz w:val="28"/>
      <w:szCs w:val="20"/>
    </w:rPr>
  </w:style>
  <w:style w:type="paragraph" w:customStyle="1" w:styleId="13">
    <w:name w:val="标题1"/>
    <w:basedOn w:val="3"/>
    <w:autoRedefine/>
    <w:qFormat/>
    <w:uiPriority w:val="0"/>
    <w:rPr>
      <w:rFonts w:eastAsia="黑体"/>
    </w:rPr>
  </w:style>
  <w:style w:type="paragraph" w:customStyle="1" w:styleId="14">
    <w:name w:val="List Paragraph_a0f507d5-6e28-4914-b37f-020b7d2b0f7c"/>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1</Lines>
  <Paragraphs>1</Paragraphs>
  <TotalTime>1</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2024-05-20T07:10:00Z</dcterms:created>
  <dc:creator>HNBS-WORKER3</dc:creator>
  <cp:lastModifiedBy>灯火阑珊</cp:lastModifiedBy>
  <dcterms:modified xsi:type="dcterms:W3CDTF">2024-06-03T15:54:38Z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2EACD47548BD4DE7A4D66C6CD41716BF_13</vt:lpwstr>
  </property>
</Properties>
</file>