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ind w:left="0" w:leftChars="0" w:firstLine="0" w:firstLineChars="0"/>
        <w:outlineLvl w:val="9"/>
        <w:rPr>
          <w:rFonts w:hint="default"/>
          <w:b/>
          <w:bCs/>
          <w:lang w:val="en-US" w:eastAsia="zh-CN"/>
        </w:rPr>
      </w:pPr>
      <w:r>
        <w:rPr>
          <w:rFonts w:hint="eastAsia"/>
          <w:b/>
          <w:bCs/>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jc w:val="left"/>
        <w:rPr>
          <w:rFonts w:hint="eastAsia" w:eastAsia="仿宋_GB2312"/>
          <w:kern w:val="0"/>
          <w:sz w:val="24"/>
          <w:lang w:val="en-US" w:eastAsia="zh-CN"/>
        </w:rPr>
      </w:pPr>
      <w:r>
        <w:rPr>
          <w:rFonts w:hint="eastAsia" w:eastAsia="仿宋_GB2312"/>
          <w:kern w:val="0"/>
          <w:sz w:val="24"/>
          <w:lang w:val="en-US" w:eastAsia="zh-CN"/>
        </w:rPr>
        <w:t xml:space="preserve">填报单位：中共岳阳市云溪区委机构编制委员会办公室                                        </w:t>
      </w:r>
    </w:p>
    <w:tbl>
      <w:tblPr>
        <w:tblStyle w:val="13"/>
        <w:tblW w:w="5425" w:type="pct"/>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2868"/>
        <w:gridCol w:w="1387"/>
        <w:gridCol w:w="743"/>
        <w:gridCol w:w="1090"/>
        <w:gridCol w:w="964"/>
        <w:gridCol w:w="1036"/>
        <w:gridCol w:w="13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512"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512"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0.75</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0.5</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0.75</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0.5</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4.7</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22.86</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15.53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4.7</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22.86</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15.53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机构编制综合管理平台升级维护</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6</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机构编制综合管理平台内网运行建设费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政务和中文域名管理运行</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4.70</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8.86</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4.95</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1.40</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112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2.66</w:t>
            </w: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2.6</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0.37</w:t>
            </w:r>
          </w:p>
        </w:tc>
        <w:tc>
          <w:tcPr>
            <w:tcW w:w="1279"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12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08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27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1512"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73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39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57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50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4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733"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 w:hRule="atLeast"/>
        </w:trPr>
        <w:tc>
          <w:tcPr>
            <w:tcW w:w="1512"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73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39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575"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8"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54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733"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1512"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487"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widowControl/>
        <w:tabs>
          <w:tab w:val="left" w:pos="3611"/>
          <w:tab w:val="left" w:pos="4791"/>
          <w:tab w:val="left" w:pos="5951"/>
          <w:tab w:val="left" w:pos="7071"/>
          <w:tab w:val="left" w:pos="8191"/>
          <w:tab w:val="left" w:pos="9311"/>
        </w:tabs>
        <w:jc w:val="left"/>
        <w:outlineLvl w:val="9"/>
        <w:rPr>
          <w:rFonts w:hint="default" w:eastAsia="仿宋_GB2312"/>
          <w:kern w:val="0"/>
          <w:sz w:val="24"/>
          <w:lang w:val="en-US" w:eastAsia="zh-CN"/>
        </w:rPr>
      </w:pPr>
    </w:p>
    <w:p>
      <w:pPr>
        <w:pStyle w:val="18"/>
        <w:keepNext/>
        <w:keepLines/>
        <w:pageBreakBefore w:val="0"/>
        <w:widowControl w:val="0"/>
        <w:kinsoku/>
        <w:wordWrap/>
        <w:overflowPunct/>
        <w:topLinePunct w:val="0"/>
        <w:autoSpaceDE/>
        <w:autoSpaceDN/>
        <w:bidi w:val="0"/>
        <w:adjustRightInd/>
        <w:snapToGrid/>
        <w:spacing w:line="280" w:lineRule="exact"/>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eastAsia" w:ascii="方正小标宋_GBK" w:hAnsi="方正小标宋_GBK" w:eastAsia="方正小标宋_GBK" w:cs="方正小标宋_GBK"/>
          <w:i w:val="0"/>
          <w:iCs w:val="0"/>
          <w:caps w:val="0"/>
          <w:color w:val="000000"/>
          <w:spacing w:val="0"/>
          <w:sz w:val="32"/>
          <w:szCs w:val="32"/>
          <w:shd w:val="clear" w:fill="FFFFFF"/>
          <w:lang w:val="en-US" w:eastAsia="zh-CN"/>
        </w:rPr>
        <w:sectPr>
          <w:footerReference r:id="rId3" w:type="default"/>
          <w:pgSz w:w="11906" w:h="16838"/>
          <w:pgMar w:top="2098" w:right="1800" w:bottom="1984" w:left="1587"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单位负责人签字：</w:t>
      </w:r>
    </w:p>
    <w:p>
      <w:pPr>
        <w:keepNext w:val="0"/>
        <w:keepLines w:val="0"/>
        <w:pageBreakBefore w:val="0"/>
        <w:kinsoku/>
        <w:overflowPunct/>
        <w:topLinePunct w:val="0"/>
        <w:autoSpaceDE/>
        <w:bidi w:val="0"/>
        <w:spacing w:line="560" w:lineRule="exact"/>
        <w:outlineLvl w:val="9"/>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20" w:firstLineChars="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lang w:eastAsia="zh-CN"/>
        </w:rPr>
        <w:t>：</w:t>
      </w:r>
      <w:r>
        <w:rPr>
          <w:rFonts w:hint="eastAsia" w:eastAsia="仿宋_GB2312"/>
          <w:sz w:val="30"/>
          <w:szCs w:val="30"/>
          <w:u w:val="single"/>
        </w:rPr>
        <w:t xml:space="preserve">中共岳阳市云溪区委机构编制委员会办公室  </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20" w:firstLineChars="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w:t>
      </w:r>
      <w:r>
        <w:rPr>
          <w:rFonts w:hint="eastAsia" w:eastAsia="仿宋_GB2312"/>
          <w:spacing w:val="30"/>
          <w:sz w:val="32"/>
          <w:szCs w:val="32"/>
          <w:lang w:val="en-US" w:eastAsia="zh-CN"/>
        </w:rPr>
        <w:tab/>
      </w:r>
      <w:r>
        <w:rPr>
          <w:rFonts w:hint="eastAsia" w:eastAsia="仿宋_GB2312"/>
          <w:spacing w:val="30"/>
          <w:sz w:val="32"/>
          <w:szCs w:val="32"/>
        </w:rPr>
        <w:t>码：</w:t>
      </w:r>
      <w:r>
        <w:rPr>
          <w:rFonts w:hint="eastAsia" w:eastAsia="仿宋_GB2312"/>
          <w:spacing w:val="20"/>
          <w:sz w:val="32"/>
          <w:szCs w:val="32"/>
          <w:u w:val="single"/>
        </w:rPr>
        <w:t xml:space="preserve"> 141001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5</w:t>
      </w:r>
      <w:r>
        <w:rPr>
          <w:rFonts w:hint="eastAsia" w:eastAsia="仿宋_GB2312"/>
          <w:sz w:val="32"/>
        </w:rPr>
        <w:t xml:space="preserve">  月 </w:t>
      </w:r>
      <w:r>
        <w:rPr>
          <w:rFonts w:hint="eastAsia" w:eastAsia="仿宋_GB2312"/>
          <w:sz w:val="32"/>
          <w:lang w:val="en-US" w:eastAsia="zh-CN"/>
        </w:rPr>
        <w:t>20</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21"/>
        <w:rPr>
          <w:rFonts w:hint="eastAsia" w:eastAsia="仿宋_GB2312"/>
          <w:sz w:val="32"/>
          <w:szCs w:val="32"/>
        </w:rPr>
      </w:pPr>
    </w:p>
    <w:p>
      <w:pPr>
        <w:pStyle w:val="21"/>
        <w:rPr>
          <w:rFonts w:hint="eastAsia" w:eastAsia="仿宋_GB2312"/>
          <w:sz w:val="32"/>
          <w:szCs w:val="32"/>
        </w:rPr>
      </w:pPr>
    </w:p>
    <w:p>
      <w:pPr>
        <w:pStyle w:val="21"/>
        <w:rPr>
          <w:rFonts w:hint="eastAsia" w:eastAsia="仿宋_GB2312"/>
          <w:sz w:val="32"/>
          <w:szCs w:val="32"/>
        </w:rPr>
      </w:pPr>
    </w:p>
    <w:p>
      <w:pPr>
        <w:pStyle w:val="21"/>
        <w:rPr>
          <w:rFonts w:hint="eastAsia" w:eastAsia="仿宋_GB2312"/>
          <w:sz w:val="32"/>
          <w:szCs w:val="32"/>
        </w:rPr>
      </w:pPr>
    </w:p>
    <w:p>
      <w:pPr>
        <w:pStyle w:val="21"/>
        <w:rPr>
          <w:rFonts w:hint="eastAsia" w:eastAsia="仿宋_GB2312"/>
          <w:sz w:val="32"/>
          <w:szCs w:val="32"/>
        </w:rPr>
      </w:pPr>
    </w:p>
    <w:p>
      <w:pPr>
        <w:pStyle w:val="21"/>
        <w:rPr>
          <w:rFonts w:hint="eastAsia" w:eastAsia="仿宋_GB2312"/>
          <w:sz w:val="32"/>
          <w:szCs w:val="32"/>
        </w:rPr>
        <w:sectPr>
          <w:footerReference r:id="rId4" w:type="default"/>
          <w:footerReference r:id="rId5"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both"/>
        <w:textAlignment w:val="auto"/>
        <w:rPr>
          <w:rFonts w:hint="eastAsia" w:ascii="方正小标宋简体" w:hAnsi="方正小标宋简体" w:eastAsia="方正小标宋简体" w:cs="方正小标宋简体"/>
          <w:color w:val="000000"/>
          <w:kern w:val="0"/>
          <w:sz w:val="36"/>
          <w:szCs w:val="36"/>
          <w:lang w:val="en-US" w:eastAsia="zh-CN"/>
        </w:rPr>
      </w:pPr>
    </w:p>
    <w:tbl>
      <w:tblPr>
        <w:tblStyle w:val="13"/>
        <w:tblW w:w="53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0"/>
        <w:gridCol w:w="624"/>
        <w:gridCol w:w="708"/>
        <w:gridCol w:w="876"/>
        <w:gridCol w:w="667"/>
        <w:gridCol w:w="269"/>
        <w:gridCol w:w="524"/>
        <w:gridCol w:w="556"/>
        <w:gridCol w:w="1020"/>
        <w:gridCol w:w="234"/>
        <w:gridCol w:w="522"/>
        <w:gridCol w:w="788"/>
        <w:gridCol w:w="687"/>
        <w:gridCol w:w="11"/>
        <w:gridCol w:w="1243"/>
        <w:gridCol w:w="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600" w:hRule="atLeast"/>
        </w:trPr>
        <w:tc>
          <w:tcPr>
            <w:tcW w:w="67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315" w:type="pct"/>
            <w:gridSpan w:val="13"/>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color w:val="000000"/>
                <w:sz w:val="20"/>
                <w:szCs w:val="20"/>
              </w:rPr>
              <w:t>中共岳阳市云溪区委机构编制委员会办公室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480" w:hRule="atLeast"/>
        </w:trPr>
        <w:tc>
          <w:tcPr>
            <w:tcW w:w="67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84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9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7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543"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822"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6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667"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576"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84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9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98.56</w:t>
            </w:r>
          </w:p>
        </w:tc>
        <w:tc>
          <w:tcPr>
            <w:tcW w:w="57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118.5</w:t>
            </w:r>
          </w:p>
        </w:tc>
        <w:tc>
          <w:tcPr>
            <w:tcW w:w="54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113.8</w:t>
            </w:r>
          </w:p>
        </w:tc>
        <w:tc>
          <w:tcPr>
            <w:tcW w:w="822"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36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c>
          <w:tcPr>
            <w:tcW w:w="667"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534"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459" w:type="pct"/>
            <w:gridSpan w:val="7"/>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855"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44"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84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616"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118.29</w:t>
            </w:r>
          </w:p>
        </w:tc>
        <w:tc>
          <w:tcPr>
            <w:tcW w:w="822"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1033"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91.22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28"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84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616"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822"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552"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84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616"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822"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1033"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22.57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468"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84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616"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0.2</w:t>
            </w:r>
          </w:p>
        </w:tc>
        <w:tc>
          <w:tcPr>
            <w:tcW w:w="822"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672" w:hRule="atLeast"/>
        </w:trPr>
        <w:tc>
          <w:tcPr>
            <w:tcW w:w="67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459" w:type="pct"/>
            <w:gridSpan w:val="7"/>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855"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20" w:hRule="atLeast"/>
        </w:trPr>
        <w:tc>
          <w:tcPr>
            <w:tcW w:w="67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459" w:type="pct"/>
            <w:gridSpan w:val="7"/>
            <w:tcBorders>
              <w:tl2br w:val="nil"/>
              <w:tr2bl w:val="nil"/>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目标1：强化理论武装，守好“政治关”。</w:t>
            </w:r>
          </w:p>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目标2：重点工作落实，下足“真功夫”。</w:t>
            </w:r>
          </w:p>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目标3：优化体制机制，走出“特色路”。</w:t>
            </w:r>
          </w:p>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rPr>
              <w:t>目标4：用好编制资源，持续“提效能”</w:t>
            </w:r>
            <w:r>
              <w:rPr>
                <w:rFonts w:hint="eastAsia" w:ascii="仿宋_GB2312" w:hAnsi="仿宋_GB2312" w:eastAsia="仿宋_GB2312" w:cs="仿宋_GB2312"/>
                <w:i w:val="0"/>
                <w:iCs w:val="0"/>
                <w:color w:val="000000"/>
                <w:sz w:val="20"/>
                <w:szCs w:val="20"/>
                <w:u w:val="none"/>
                <w:lang w:val="en-US" w:eastAsia="zh-CN"/>
              </w:rPr>
              <w:t>.</w:t>
            </w:r>
          </w:p>
        </w:tc>
        <w:tc>
          <w:tcPr>
            <w:tcW w:w="1855" w:type="pct"/>
            <w:gridSpan w:val="6"/>
            <w:tcBorders>
              <w:tl2br w:val="nil"/>
              <w:tr2bl w:val="nil"/>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目标1：强化理论武装，守好“政治关”。</w:t>
            </w:r>
          </w:p>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目标2：重点工作落实，下足“真功夫”。</w:t>
            </w:r>
          </w:p>
          <w:p>
            <w:pPr>
              <w:keepNext w:val="0"/>
              <w:keepLines w:val="0"/>
              <w:widowControl/>
              <w:suppressLineNumbers w:val="0"/>
              <w:jc w:val="both"/>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目标3：优化体制机制，走出“特色路”。</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目标4：用好编制资源，持续“提效能”</w:t>
            </w:r>
            <w:r>
              <w:rPr>
                <w:rFonts w:hint="eastAsia" w:ascii="仿宋_GB2312" w:hAnsi="仿宋_GB2312" w:eastAsia="仿宋_GB2312" w:cs="仿宋_GB2312"/>
                <w:i w:val="0"/>
                <w:iCs w:val="0"/>
                <w:color w:val="000000"/>
                <w:sz w:val="20"/>
                <w:szCs w:val="20"/>
                <w:u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9" w:hRule="atLeast"/>
        </w:trPr>
        <w:tc>
          <w:tcPr>
            <w:tcW w:w="340"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332"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376"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821"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42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963"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27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791"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673" w:type="pct"/>
            <w:gridSpan w:val="2"/>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9" w:hRule="atLeast"/>
        </w:trPr>
        <w:tc>
          <w:tcPr>
            <w:tcW w:w="340"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32"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76"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821"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2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963"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7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791"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73" w:type="pct"/>
            <w:gridSpan w:val="2"/>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332"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37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调研单位数</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20家</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20家</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回收空余编制数</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22个</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22个</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注册登记事业单位数</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5个</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5个</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消除超编数</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_GB2312" w:hAnsi="仿宋_GB2312" w:eastAsia="仿宋_GB2312" w:cs="仿宋_GB2312"/>
                <w:i w:val="0"/>
                <w:iCs w:val="0"/>
                <w:color w:val="000000"/>
                <w:kern w:val="0"/>
                <w:sz w:val="20"/>
                <w:szCs w:val="20"/>
                <w:u w:val="none"/>
                <w:lang w:val="en-US" w:eastAsia="zh-CN" w:bidi="ar"/>
              </w:rPr>
              <w:t>125名</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125名</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编制核查覆盖率</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调整及时率</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821"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963"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91" w:type="pct"/>
            <w:gridSpan w:val="3"/>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821" w:type="pct"/>
            <w:gridSpan w:val="2"/>
            <w:tcBorders>
              <w:tl2br w:val="nil"/>
              <w:tr2bl w:val="nil"/>
            </w:tcBorders>
            <w:shd w:val="clear" w:color="auto" w:fill="auto"/>
            <w:vAlign w:val="center"/>
          </w:tcPr>
          <w:p>
            <w:pPr>
              <w:keepNext w:val="0"/>
              <w:keepLines w:val="0"/>
              <w:widowControl/>
              <w:suppressLineNumbers w:val="0"/>
              <w:jc w:val="both"/>
              <w:textAlignment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盘活编制资源</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lang w:val="en-US" w:eastAsia="zh-CN"/>
              </w:rPr>
              <w:t>盘活</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lang w:val="en-US" w:eastAsia="zh-CN"/>
              </w:rPr>
              <w:t>盘活</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821"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963"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91" w:type="pct"/>
            <w:gridSpan w:val="3"/>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821"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963"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91" w:type="pct"/>
            <w:gridSpan w:val="3"/>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群众满意度</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≥90%</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94%</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821"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部门预算支出金额</w:t>
            </w:r>
          </w:p>
        </w:tc>
        <w:tc>
          <w:tcPr>
            <w:tcW w:w="42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≤113.8万元</w:t>
            </w:r>
          </w:p>
        </w:tc>
        <w:tc>
          <w:tcPr>
            <w:tcW w:w="963"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113.8万元</w:t>
            </w:r>
          </w:p>
        </w:tc>
        <w:tc>
          <w:tcPr>
            <w:tcW w:w="2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791" w:type="pct"/>
            <w:gridSpan w:val="3"/>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821"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963"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91" w:type="pct"/>
            <w:gridSpan w:val="3"/>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332"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37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821"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963"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91" w:type="pct"/>
            <w:gridSpan w:val="3"/>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73"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1049"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950" w:type="pct"/>
            <w:gridSpan w:val="13"/>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049"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评价等次</w:t>
            </w:r>
          </w:p>
        </w:tc>
        <w:tc>
          <w:tcPr>
            <w:tcW w:w="3950" w:type="pct"/>
            <w:gridSpan w:val="1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bl>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p>
      <w:pPr>
        <w:spacing w:line="540" w:lineRule="exact"/>
        <w:jc w:val="both"/>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tbl>
      <w:tblPr>
        <w:tblStyle w:val="13"/>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杨圣</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综合室主任</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区委编办</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杨圣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sectPr>
          <w:pgSz w:w="11906" w:h="16838"/>
          <w:pgMar w:top="2098" w:right="1800" w:bottom="1984" w:left="1587"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eastAsia="仿宋_GB2312" w:cs="仿宋_GB2312"/>
          <w:bCs/>
          <w:sz w:val="28"/>
          <w:szCs w:val="28"/>
        </w:rPr>
        <w:t>填报人（签名）：                          联系电话：</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中共岳阳市云溪区委机构编制委员会办公室</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0" w:right="0" w:firstLine="0"/>
        <w:jc w:val="center"/>
        <w:textAlignment w:val="auto"/>
        <w:rPr>
          <w:rFonts w:ascii="方正小标宋_GBK" w:hAnsi="方正小标宋_GBK" w:eastAsia="方正小标宋_GBK" w:cs="方正小标宋_GBK"/>
          <w:b w:val="0"/>
          <w:bCs w:val="0"/>
          <w:i w:val="0"/>
          <w:iCs w:val="0"/>
          <w:caps w:val="0"/>
          <w:color w:val="000000"/>
          <w:spacing w:val="0"/>
          <w:sz w:val="44"/>
          <w:szCs w:val="44"/>
        </w:rPr>
      </w:pPr>
      <w:r>
        <w:rPr>
          <w:rFonts w:hint="eastAsia" w:ascii="方正小标宋_GBK" w:hAnsi="方正小标宋_GBK" w:eastAsia="方正小标宋_GBK" w:cs="方正小标宋_GBK"/>
          <w:b w:val="0"/>
          <w:bCs w:val="0"/>
          <w:i w:val="0"/>
          <w:iCs w:val="0"/>
          <w:caps w:val="0"/>
          <w:color w:val="000000"/>
          <w:spacing w:val="0"/>
          <w:sz w:val="44"/>
          <w:szCs w:val="44"/>
          <w:shd w:val="clear" w:fill="FFFFFF"/>
        </w:rPr>
        <w:t>部门整体支出绩效自评报告</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0" w:right="0" w:firstLine="0"/>
        <w:jc w:val="center"/>
        <w:textAlignment w:val="auto"/>
        <w:rPr>
          <w:rFonts w:ascii="仿宋_GB2312" w:eastAsia="仿宋_GB2312" w:cs="仿宋_GB2312"/>
          <w:i w:val="0"/>
          <w:iCs w:val="0"/>
          <w:caps w:val="0"/>
          <w:color w:val="000000"/>
          <w:spacing w:val="0"/>
          <w:sz w:val="24"/>
          <w:szCs w:val="24"/>
        </w:rPr>
      </w:pPr>
    </w:p>
    <w:p>
      <w:pPr>
        <w:pStyle w:val="2"/>
        <w:bidi w:val="0"/>
        <w:rPr>
          <w:rFonts w:hint="eastAsia"/>
        </w:rPr>
      </w:pPr>
      <w:r>
        <w:rPr>
          <w:rFonts w:hint="eastAsia"/>
        </w:rPr>
        <w:t>一、部门（单位）概况</w:t>
      </w:r>
    </w:p>
    <w:p>
      <w:pPr>
        <w:pStyle w:val="3"/>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内设机构和人员编制规定</w:t>
      </w:r>
      <w:r>
        <w:rPr>
          <w:rFonts w:hint="eastAsia" w:ascii="仿宋_GB2312" w:hAnsi="仿宋_GB2312" w:eastAsia="仿宋_GB2312" w:cs="仿宋_GB2312"/>
          <w:i w:val="0"/>
          <w:iCs w:val="0"/>
          <w:caps w:val="0"/>
          <w:color w:val="auto"/>
          <w:spacing w:val="0"/>
          <w:sz w:val="32"/>
          <w:szCs w:val="32"/>
          <w:shd w:val="clear" w:color="auto" w:fill="FFFFFF"/>
          <w:lang w:val="en-US" w:eastAsia="zh-CN"/>
        </w:rPr>
        <w:t>，内设股室3个，分别为：综合室、机构编制室、实名制管理和信息室</w:t>
      </w:r>
      <w:r>
        <w:rPr>
          <w:rFonts w:hint="eastAsia" w:ascii="仿宋_GB2312" w:hAnsi="仿宋_GB2312" w:eastAsia="仿宋_GB2312" w:cs="仿宋_GB2312"/>
          <w:sz w:val="32"/>
          <w:szCs w:val="32"/>
          <w:lang w:eastAsia="zh-CN"/>
        </w:rPr>
        <w:t>。</w:t>
      </w:r>
    </w:p>
    <w:p>
      <w:pPr>
        <w:pStyle w:val="3"/>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bookmarkStart w:id="0" w:name="_GoBack"/>
      <w:r>
        <w:rPr>
          <w:rFonts w:hint="eastAsia" w:ascii="仿宋_GB2312" w:hAnsi="仿宋_GB2312" w:eastAsia="仿宋_GB2312" w:cs="仿宋_GB2312"/>
          <w:b w:val="0"/>
          <w:bCs w:val="0"/>
          <w:color w:val="auto"/>
          <w:sz w:val="32"/>
          <w:szCs w:val="32"/>
          <w:lang w:val="en-US" w:eastAsia="zh-CN"/>
        </w:rPr>
        <w:t>机构现实有事业编人员5人，其中行政人员4人，事业人员1人。</w:t>
      </w:r>
    </w:p>
    <w:bookmarkEnd w:id="0"/>
    <w:p>
      <w:pPr>
        <w:pStyle w:val="3"/>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贯彻执行中央和省委、市委有关机构改革以及机构编制管理的法律法规规章和政策；起草机构编制管理的规范性文件；统一管理全区各级党政机关（含党委、政府各部门，人大、政协、人民团体机关，以及其他行政机构，下同）和事业单位的机构编制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2、拟订全区机构改革方案并组织实施；审核区直党政机关各部门和镇（街道）机构改革方案。</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3、拟订全区机构改革方案并组织实施；审核区直党政机关各部门和镇（街道）机构改革方案。</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4、拟订全区事业单位机构改革总体方案并组织实施。</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5、拟订全区事业单位机构改革总体方案并组织实施。</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6、审核全区党政机关事业单位科级机构的设置和调整方案；研究提出区直党政机关职责配置和调整的意见，协调各部门之间、区本级与镇（街道）之间的事权划分和职责分工；审定全区科级机构的内设机构、股级事业单位的设置和调整方案。</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7、审核全区党政机关事业单位科级机构的设置和调整方案；研究提出区直党政机关职责配置和调整的意见，协调各部门之间、区本级与镇（街道）之间的事权划分和职责分工；审定全区科级机构的内设机构、股级事业单位的设置和调整方案。</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8、拟订全区各级党政机关、科级事业单位和镇（街道）事业单位人员编制整体方案；会同相关部门提出区镇党政机关、科级以上事业单位领导职数配备和调整方案；审定全区党政机关、事业单位股级领导职数；审定区直股级事业单位人员编制；审定全区各级党政机关行政编制、政法专项编制在总额内分配和调整方案以及镇（街道）事业编制在总额内的分配和调整。</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9、拟订全区各级党政机关、科级事业单位和镇（街道）事业单位人员编制整体方案；会同相关部门提出区镇党政机关、科级以上事业单位领导职数配备和调整方案；审定全区党政机关、事业单位股级领导职数；审定区直股级事业单位人员编制；审定全区各级党政机关行政编制、政法专项编制在总额内分配和调整方案以及镇（街道）事业编制在总额内的分配和调整。</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10、负责全区各级党政机关、事业单位机构编制实名制管理；审核纳入区级财政统一发放工资的同级党政机关、事业单位（含收取规费的事业单位）的人员编制性质、数量、实有人数和领导职数；负责全区机构编制统计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11、负责全区各级党政机关、事业单位机构编制实名制管理；审核纳入区级财政统一发放工资的同级党政机关、事业单位（含收取规费的事业单位）的人员编制性质、数量、实有人数和领导职数；负责全区机构编制统计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12、贯彻执行国家有关事业单位登记管理的法律、法规、规章，拟订全区事业单位登记管理的相关文件并组织实施；依法对全区事业单位进行登记管理，积极开展事业单位法人履职评估工作，会同有关部门做好行政事业单位法定代表人离任机构编制审计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13、贯彻执行国家有关事业单位登记管理的法律、法规、规章，拟订全区事业单位登记管理的相关文件并组织实施；依法对全区事业单位进行登记管理，积极开展事业单位法人履职评估工作，会同有关部门做好行政事业单位法定代表人离任机构编制审计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14、监督检查全区各级党政机关、事业单位机构编制及机构改革方案的执行情况，会同有关部门查处机构编制违规违纪行为。</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15、监督检查全区各级党政机关、事业单位机构编制及机构改革方案的执行情况，会同有关部门查处机构编制违规违纪行为。</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16、负责指导全区政务类和公益类网上中文域名管理的工作。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17、负责指导全区政务类和公益类网上中文域名管理的工作。</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18、完成区委和区委编委交办的其他任务。</w:t>
      </w:r>
    </w:p>
    <w:p>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19、完成区委和区委编委交办的其他任务。</w:t>
      </w:r>
    </w:p>
    <w:p>
      <w:pPr>
        <w:pStyle w:val="3"/>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目标1：强化理论武装，守好“政治关”。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目标2：重点工作落实，下足“真功夫”。</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目标3：优化体制机制，走出“特色路”。</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目标4：用好编制资源，持续“提效能”。</w:t>
      </w:r>
    </w:p>
    <w:p>
      <w:pPr>
        <w:pStyle w:val="2"/>
        <w:bidi w:val="0"/>
        <w:rPr>
          <w:rFonts w:hint="eastAsia"/>
          <w:lang w:val="en-US" w:eastAsia="zh-CN"/>
        </w:rPr>
      </w:pPr>
      <w:r>
        <w:rPr>
          <w:rFonts w:hint="eastAsia"/>
          <w:lang w:val="en-US" w:eastAsia="zh-CN"/>
        </w:rPr>
        <w:t>二、部门整体支出管理及使用情况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县财政局有关财务规章的规定，先后制订了《通道县机关事务中心财务管理制度》，《通道县交通局内部控制制度》，《湖南省农村公路建设管理办法》，《通道县交通局预算绩效目标管理办法》，《通道县机关事务中心预算绩效管理工作职责》，《通道县机关事务中心三公经费管理规定》明确了经费审批权限及程序，经费预算管理、财务经费管理、资产购置与处置、财务监督等。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2023年决算支出113.8万元，其中：基本支出105.43万元，项目支出8.37万元。</w:t>
      </w:r>
    </w:p>
    <w:p>
      <w:pPr>
        <w:pStyle w:val="4"/>
        <w:bidi w:val="0"/>
        <w:rPr>
          <w:rFonts w:hint="eastAsia"/>
          <w:b/>
          <w:bCs/>
          <w:lang w:val="en-US" w:eastAsia="zh-CN"/>
        </w:rPr>
      </w:pPr>
      <w:r>
        <w:rPr>
          <w:rFonts w:hint="eastAsia"/>
          <w:b/>
          <w:bCs/>
        </w:rPr>
        <w:t>（一）基本支出情况</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2023年全年基本支出105.43万元，其中：工资福利支出74.37万元、商品和服务支出27.3万元、对个人和家庭的补助3.1万元、债务利息及费用支出0万元、资本性支出0.67万元、其他支出0万元。</w:t>
      </w:r>
    </w:p>
    <w:p>
      <w:pPr>
        <w:pStyle w:val="4"/>
        <w:bidi w:val="0"/>
        <w:rPr>
          <w:rFonts w:hint="eastAsia"/>
          <w:b/>
          <w:bCs/>
          <w:lang w:val="en-US" w:eastAsia="zh-CN"/>
        </w:rPr>
      </w:pPr>
      <w:r>
        <w:rPr>
          <w:rFonts w:hint="eastAsia"/>
          <w:b/>
          <w:bCs/>
          <w:lang w:val="en-US" w:eastAsia="zh-CN"/>
        </w:rPr>
        <w:t>（二）项目支出情况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8.37</w:t>
      </w:r>
      <w:r>
        <w:rPr>
          <w:rFonts w:hint="eastAsia" w:ascii="仿宋_GB2312" w:hAnsi="仿宋_GB2312" w:eastAsia="仿宋_GB2312" w:cs="仿宋_GB2312"/>
          <w:b w:val="0"/>
          <w:bCs w:val="0"/>
          <w:color w:val="auto"/>
          <w:kern w:val="2"/>
          <w:sz w:val="32"/>
          <w:szCs w:val="32"/>
          <w:lang w:val="en-US" w:eastAsia="zh-CN" w:bidi="ar-SA"/>
        </w:rPr>
        <w:t>万元，涉及2个项目，包括机构编制综合管理平台内网运行建设费5.32万元、档案整理经费3.05万元。</w:t>
      </w:r>
    </w:p>
    <w:p>
      <w:pPr>
        <w:pStyle w:val="4"/>
        <w:bidi w:val="0"/>
        <w:rPr>
          <w:rFonts w:hint="eastAsia"/>
          <w:b/>
          <w:bCs/>
          <w:lang w:val="en-US" w:eastAsia="zh-CN"/>
        </w:rPr>
      </w:pPr>
      <w:r>
        <w:rPr>
          <w:rFonts w:hint="eastAsia"/>
          <w:b/>
          <w:bCs/>
          <w:lang w:val="en-US" w:eastAsia="zh-CN"/>
        </w:rPr>
        <w:t>（三）“三公”经费的使用和管理情况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0.5元，其中：公务接待费0.5万元、因公出国（境）费用0万元、公务用车购置及运行费0万元。全年决算局单位支出“三公”经费为0.4万元，其中：公务接待费0.4万元、因公出国（境）费用0万元、公务用车购置及运行费0万元。</w:t>
      </w:r>
    </w:p>
    <w:p>
      <w:pPr>
        <w:pStyle w:val="2"/>
        <w:bidi w:val="0"/>
        <w:rPr>
          <w:rFonts w:hint="eastAsia"/>
        </w:rPr>
      </w:pPr>
      <w:r>
        <w:rPr>
          <w:rFonts w:hint="eastAsia"/>
        </w:rPr>
        <w:t>三、政府性基金预算支出情况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eastAsia="仿宋_GB2312" w:cs="仿宋_GB2312"/>
          <w:i w:val="0"/>
          <w:iCs w:val="0"/>
          <w:caps w:val="0"/>
          <w:color w:val="000000"/>
          <w:spacing w:val="0"/>
          <w:sz w:val="32"/>
          <w:szCs w:val="32"/>
          <w:shd w:val="clear" w:fill="FFFFFF"/>
          <w:lang w:val="en-US" w:eastAsia="zh-CN"/>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四、国有资本经营预算支出情况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五、社会保险基金预算支出情况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六、部门整体支出绩效情况</w:t>
      </w:r>
    </w:p>
    <w:p>
      <w:pPr>
        <w:pStyle w:val="3"/>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3"/>
        <w:bidi w:val="0"/>
        <w:rPr>
          <w:rFonts w:hint="default"/>
        </w:rPr>
      </w:pPr>
      <w:r>
        <w:rPr>
          <w:rFonts w:hint="default"/>
        </w:rPr>
        <w:t>（二）评价指标分析</w:t>
      </w:r>
    </w:p>
    <w:p>
      <w:pPr>
        <w:pStyle w:val="4"/>
        <w:bidi w:val="0"/>
        <w:rPr>
          <w:rFonts w:hint="eastAsia"/>
          <w:lang w:val="en-US" w:eastAsia="zh-CN"/>
        </w:rPr>
      </w:pPr>
      <w:r>
        <w:rPr>
          <w:rFonts w:hint="eastAsia"/>
          <w:lang w:val="en-US" w:eastAsia="zh-CN"/>
        </w:rPr>
        <w:t>1.强化理论武装，守好“政治关”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是坚定政治站位。2023年，编办始终坚持政治导向，进一步强化政治机关的政治属性，把认真学习贯彻习近平总书记重要讲话和中央重要会议精神作为机构编制工作重要内容，把加强党对机构编制的领导贯穿于机构编制工作各方面全过程，确保党的指挥棒指向哪里，机构编制工作的重点就放到哪里，机构编制资源就投向哪里、保障到哪里。一方面，加强编办干部自身业务知识学习，结合中心组理论学习，系统学习了习近平总书记关于机构编制重要讲话、机构编制重要会议精神和《中国共产党机构编制工作条例》《湖南省委机构编制管理规定》等法规制度。另一方面，组织全区部门单位学习机构编制法规知识，制定了《关于贯彻落实中央编委&lt;关于加强机构编制违规违纪违法行为预防教育的指导意见&gt;的通知》文件，将预防教育纳入区委中心组理论学习，党课教育、廉政教育、新任干部谈话的重要内容，把各单位预防教育情况纳入年度绩效考核考评，强化了各单位遵守机构编制制度的认识。二是加强机关建设。①大兴调查研究之风，为聚焦经济发展、保障重点项目、服务民生一线，先后对区自然资源局、区公路建养中心、区教体局、区残联、云溪街道等20多家单位进行了调研，切实为机构编制事项提供了决策依据。②涌现争先创优之风，以“榜样选树+荣誉创建”为突破口，营造“学习先进、崇尚先进、争当先进”的浓厚氛围。在全省机构编制业务比武中取得了优异的成绩，获得省、市编办通报表扬；1名干部在抽调省委巡视机构编制专项检查工作中，被评为优秀个人；1名干部在区“青年说廉”演讲比赛中取得了第二名的好成绩。③着力弘扬清廉之风，结合“清廉云溪”建设，及时跟进学习关于党的作风建设的新理念、新思想、新战略，常态化长效化提升政治理论学习深度、广度和对制度规定的熟知度，以理论学习滋养政治素养，不断提高党员干部廉洁意识，强化政治担当。</w:t>
      </w:r>
    </w:p>
    <w:p>
      <w:pPr>
        <w:pStyle w:val="4"/>
        <w:bidi w:val="0"/>
        <w:rPr>
          <w:rFonts w:hint="eastAsia"/>
          <w:lang w:val="en-US" w:eastAsia="zh-CN"/>
        </w:rPr>
      </w:pPr>
      <w:r>
        <w:rPr>
          <w:rFonts w:hint="eastAsia"/>
          <w:lang w:val="en-US" w:eastAsia="zh-CN"/>
        </w:rPr>
        <w:t>2.重点工作落实，下足“真功夫”</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是圆满完成行政消超任务。我区区直行政消超工作，在区委的高度重视和正仁书记亲自部署、兴隆部长亲自推动下稳步推进，扎实开展全区超编情况摸底，科学研判、精准制定“八个一批”消超措施，及时召开动员会、推进会和调度会，出台《云溪区行政编制超编问题专项整治实施方案》《云溪区区直行政单位消减超编人员工作方案》《云溪区公务员职级晋升实施方案（试行）》等系列文件，消超工作取得显著成效，全年共消超125名，超额完成消超任务。二是高位推动效益评估工作。机构编制执行情况和使用效益评估工作是一项新事务，区委编委十分重视，印发《云溪区机构编制执行情况和使用效益评估试点工作实施方案》。我们对照履职尽责、编制配备、机构配置、编制和领导职数、管理规范、个性指标等“六大指标”，对云溪街道、区自然资源局、区公路建养中心进行了试点评估，积极推动效益评估成果转化，切实为创新机构编制管理、提升机构编制资源使用效益积累了宝贵经验。三是认真做好政协提案办理工作。坚持把办好提案作为解决问题、推动工作的重要抓手，以《关于完善镇街综合行政执法改革的建议》提案为契机，优化完善镇（街道）职能体系和执法机制，出台《云溪区镇（街道）权力清单和责任清单》，足额配备编制资源，用编核准“开绿灯”。着力提升镇（街道）执法人员综合素质，经常性开展执法业务培训和执法证考试，切实做好了乡镇机构改革“后半篇文章”。2023年度，被区政协评为提案办理先进单位。</w:t>
      </w:r>
    </w:p>
    <w:p>
      <w:pPr>
        <w:pStyle w:val="4"/>
        <w:bidi w:val="0"/>
        <w:rPr>
          <w:rFonts w:hint="eastAsia"/>
          <w:lang w:val="en-US" w:eastAsia="zh-CN"/>
        </w:rPr>
      </w:pPr>
      <w:r>
        <w:rPr>
          <w:rFonts w:hint="eastAsia"/>
          <w:lang w:val="en-US" w:eastAsia="zh-CN"/>
        </w:rPr>
        <w:t>3.优化体制机制，走出“特色路”</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我区将优化体制机制着眼于服务云溪经济社会发展大局，走出了云溪特色发展之路。一是聚焦服务发展，强化机构保障。聚焦发展要素，切实转变长岭炼化协作协调事务中心职能弱化，职责单一现状，按程序将长岭炼化协作协调事务中心更名为重点项目服务中心，赋予新机构新职能新定位，着力提升重点项目服务保障水平。强化残疾人服务保障，实行区残联独立运行，规范人员编制管理。结合区情，按程序将云溪司法所、区禁毒事务中心、区廉政警示教育中心、区劳动和社会保障监察大队升格为副科级单位，强化重点领域保障力量。二是聚焦服务民生，优化资源配置。优化医疗资源配置，在持续优化公立医院用人体制同时，结合实际动态调整区人民医院用工控制数，新增25名，共核定470名，着力规范用人程序、方式，坚持以新进医护人员为导向，切实为我区医疗事业高质量发展提供机构编制保障。优化学校资源配置，认真贯彻落实党组织领导下的校长负责制要求，按程序核定了全区中小学党组织领导职数，其中区一中核增正科级党支部书记职数1名，有效保证了党的教育方针和党中央决策部署在中小学校的贯彻落实。三是聚焦主责主业，理顺体制机制。推动国动体制改革，以区人民防空办公室为基础调整组建区国防动员办公室，与区发展和改革局合署办公。规范区公路建养中心的职能配置、内设机构和人员编制，推进公路建养中心机构、职能、权限、程序、责任法定化，印发《岳阳市云溪区公路建设和养护中心职能配置、内设机构和人员编制规定》。优化园区管理体制，支持园区在核定员额总数内自主招聘人才，建立人员流动机制，打破干部行政、事业身份壁垒，打通园区与区直部门干部流通通道，让干部投身园区建设有奔头、有劲头、有盼头。</w:t>
      </w:r>
    </w:p>
    <w:p>
      <w:pPr>
        <w:pStyle w:val="4"/>
        <w:bidi w:val="0"/>
        <w:rPr>
          <w:rFonts w:hint="eastAsia"/>
          <w:lang w:val="en-US" w:eastAsia="zh-CN"/>
        </w:rPr>
      </w:pPr>
      <w:r>
        <w:rPr>
          <w:rFonts w:hint="eastAsia"/>
          <w:lang w:val="en-US" w:eastAsia="zh-CN"/>
        </w:rPr>
        <w:t>4.用好编制资源，持续“提效能”</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是在“管”上亮红线，强化刚性约束。严格执行《中国共产党机构编制工作条例》及相关政策规定，印发《关于规范云溪区机关事业单位编制和领导职数使用的暂行规定》，进一步规范机关事业单位领导职数和编制使用、人员调配程序，今年人员调配一律采取公开选调或比选择优的方式确定人选，让真正需要的人才通过比选方式脱颖而出，调整到合适的岗位上。全年通过公开选调、比选择优方式调配21人。按程序办结编委主任批示件38件。切实加强行政机构、群团组织赋码和事业单位登记管理，全年共办理机关变更8家、设立1家，办理事业单位注册登记5家、变更登记15家、注销登记4家、年度报告公示164家。全面加强机构编制档案管理，对机构编制近十年来文书档案和事业单位登记管理档案进行规范整理，重要档案全部扫描入电子库，有关纸质档案向区档案馆进行了移交。二是在“控”上限总量，管住编制资源。坚决执行机构编制限额管理要求，按照精简机构、人员只出不进等政策，严格控制机构编制总量。今年来，按照“有减有增、动态平衡”要求，根据区委编委会议决定和上级机构编制部门批复意见，实现全年财政供养人员负增长，全年财政供养人员净减75名。严控编外用工数量，着力开展编外人员清理整治行动，全程参与编外人员清理整治工作，全方位落实编外人员整治任务，制定出台《岳阳市云溪区行政事业单位编外用人管理暂行办法》，将劳务外包人员纳入监管，严明编外用工审批程序和用工管理制度，实现全区编外用工管理常态化、制度化、规范化。三是在“减”上腾存量，盘活编制资源。在编制管理上尝试动态调整，打破编制“一定终身”的观念。加大单位内部挖潜力度，将编制富裕、职能弱化单位的编制予以核减，将区公路建养中心及公路所的富余人员连人带编划出5人至区社保稽核中心，22名空余编制收回，并督促歇岗人员限期返岗，切实规范人事管理和为一线工作补充“生力军”。坚持编制管理与云溪发展有效衔接，编制使用优先保障乡村振兴、社保服务、项目建设、市场监管及建筑质量安全服务等，全年优化调整编制34名，使有限的编制资源发挥最大的效能。同时，设立“教师周转编制池”，用于补充短缺学科教师和名优教师。四是在“增”上保重点，用好编制资源。充分利用空余编制、人才专户编制和教师周转编制引进各类人才。全年通过公开招聘（四海揽才）、人才引进、公开选调等方式引进各类人才44名；选调生、退役士官、公费师范生、三支一扶人员、水利特岗生、定向医学生等政策性安置63名；解决历史遗留问题，择优完善“体外循环”人员编制手续19名。</w:t>
      </w:r>
    </w:p>
    <w:p>
      <w:pPr>
        <w:pStyle w:val="2"/>
        <w:bidi w:val="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是机构编制调整难度大，“编制部门化”思想严重，动辄就要设机构、增编制，认为不加编就突出不了工作的重要性。反过来，职能弱化的单位编制核减难度大，单位负责人错误地认为“编制是单位的”必须“守土有责”。二是少数单位负责人对本单位进人把关不严，没有考虑单位的专业性及人员结构优化的问题，存在因人设岗的现象，造成编制资源使用效益不高。三是各单位从事机构编制业务的工作人员流动过快，对机构编制政策掌握不准、业务不熟，需要在下一步工作中持续强化机构编制政策宣传工作，强化全区人事干部对机构编制政策掌握程度。</w:t>
      </w:r>
    </w:p>
    <w:p>
      <w:pPr>
        <w:pStyle w:val="2"/>
        <w:bidi w:val="0"/>
        <w:rPr>
          <w:rFonts w:hint="eastAsia"/>
        </w:rPr>
      </w:pPr>
      <w:r>
        <w:rPr>
          <w:rFonts w:hint="eastAsia"/>
        </w:rPr>
        <w:t>八、下一步改进措施</w:t>
      </w:r>
    </w:p>
    <w:p>
      <w:pPr>
        <w:pStyle w:val="3"/>
        <w:bidi w:val="0"/>
        <w:rPr>
          <w:rFonts w:hint="eastAsia"/>
          <w:lang w:val="en-US" w:eastAsia="zh-CN"/>
        </w:rPr>
      </w:pPr>
      <w:r>
        <w:rPr>
          <w:rFonts w:hint="eastAsia"/>
          <w:lang w:val="en-US" w:eastAsia="zh-CN"/>
        </w:rPr>
        <w:t>（一）扎实做好机构改革工作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对标对表党和国家机构改革方案，深入开展调查研究，有针对性地梳理涉改部门职能职责、内设机构、人员编制、领导职数等现状，分类建立台账，整理“三定”规定和机构编制历史沿革文件，研判评估机构运行变化情况，为科学制定方案夯实基础，确保机构改革“不走样”。同时着眼增强改革前瞻性、整体性和协同性，全面回顾和梳理上一轮机构改革工作部署安排，提前理清思路、做好谋划，结合实际拟制时间表、路线图、任务书，严格按照统一部署和要求抓好组织实施工作，既蹄疾步稳有序推进，又严守纪律不违规抢跑。</w:t>
      </w:r>
    </w:p>
    <w:p>
      <w:pPr>
        <w:pStyle w:val="3"/>
        <w:bidi w:val="0"/>
        <w:rPr>
          <w:rFonts w:hint="eastAsia"/>
          <w:lang w:val="en-US" w:eastAsia="zh-CN"/>
        </w:rPr>
      </w:pPr>
      <w:r>
        <w:rPr>
          <w:rFonts w:hint="eastAsia"/>
          <w:lang w:val="en-US" w:eastAsia="zh-CN"/>
        </w:rPr>
        <w:t>（二）强化机构编制政策宣传</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强化党管机构编制原则，切实提高全区遵守机构编制工作纪律的思想自觉与行动自觉，推动将《条例》《规定》等机构编制实名制管理相关政策法规纳入党委理论中心组、党校主体班、机构编制“业务大讲堂”等学习内容，通过集中轮训、专题培训等形式，达到“各级领导干部熟知、机构编制干部精通、其他党员干部知晓”的工作要求,不断提高机构编制法定化水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（三）优化机构编制资源配置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一方面，争取市委编办支持，进一步调整优化科级事业机构的设置，机构设置继续向经济发展、民生一线等重点领域倾斜。另一方面，优化机构编制资源配置，破除“编制部门化”。坚持编制动态调整和统筹使用，能不增机构的尽量不增设机构，能不增编制的尽量不增加编制，新增职能的编制尽量在系统内部调剂，对职能相近的机构进行整合，对工作任务不饱和、职能弱化、职能萎缩等单位的编制予以及时收回，重点扶持经济发展重点领域、民生一线，为引进专业人才提供机构编制保障。严把进人关，要以优化队伍结构为重点，优先补充急需专业人才和高层次人才。加强部门联动管控，落实用编进人事前、事中、事后全方位把关，将有限的编制资源用在刀刃上。</w:t>
      </w:r>
    </w:p>
    <w:p>
      <w:pPr>
        <w:pStyle w:val="2"/>
        <w:bidi w:val="0"/>
        <w:rPr>
          <w:rFonts w:hint="eastAsia"/>
          <w:lang w:val="en-US" w:eastAsia="en-US"/>
        </w:rPr>
      </w:pPr>
      <w:r>
        <w:rPr>
          <w:rFonts w:hint="eastAsia"/>
          <w:lang w:val="en-US" w:eastAsia="en-US"/>
        </w:rPr>
        <w:t>九、其他需要说明的情况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pPr>
        <w:spacing w:line="360" w:lineRule="auto"/>
        <w:outlineLvl w:val="9"/>
        <w:rPr>
          <w:rFonts w:hint="default" w:ascii="仿宋" w:hAnsi="仿宋" w:eastAsia="仿宋" w:cs="仿宋_GB2312"/>
          <w:sz w:val="28"/>
          <w:szCs w:val="28"/>
        </w:rPr>
        <w:sectPr>
          <w:pgSz w:w="11906" w:h="16838"/>
          <w:pgMar w:top="2098" w:right="1800" w:bottom="1984" w:left="1587" w:header="851" w:footer="992" w:gutter="0"/>
          <w:pgBorders>
            <w:top w:val="none" w:sz="0" w:space="0"/>
            <w:left w:val="none" w:sz="0" w:space="0"/>
            <w:bottom w:val="none" w:sz="0" w:space="0"/>
            <w:right w:val="none" w:sz="0" w:space="0"/>
          </w:pgBorders>
          <w:cols w:space="425" w:num="1"/>
          <w:docGrid w:type="lines" w:linePitch="312" w:charSpace="0"/>
        </w:sectPr>
      </w:pPr>
    </w:p>
    <w:p>
      <w:pPr>
        <w:widowControl w:val="0"/>
        <w:kinsoku/>
        <w:autoSpaceDE/>
        <w:autoSpaceDN/>
        <w:adjustRightInd/>
        <w:snapToGrid/>
        <w:spacing w:line="600" w:lineRule="exact"/>
        <w:jc w:val="both"/>
        <w:textAlignment w:val="auto"/>
        <w:rPr>
          <w:rFonts w:hint="default"/>
          <w:lang w:val="en-US" w:eastAsia="zh-CN"/>
        </w:rPr>
      </w:pPr>
    </w:p>
    <w:sectPr>
      <w:pgSz w:w="11906" w:h="16838"/>
      <w:pgMar w:top="2098" w:right="1800" w:bottom="1984"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BE1937A-35E3-41CC-A805-2DD66D66F98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2" w:fontKey="{8A26A697-C290-4B38-8CAE-7B1EA54201F4}"/>
  </w:font>
  <w:font w:name="仿宋_GB2312">
    <w:panose1 w:val="02010609030101010101"/>
    <w:charset w:val="86"/>
    <w:family w:val="auto"/>
    <w:pitch w:val="default"/>
    <w:sig w:usb0="00000001" w:usb1="080E0000" w:usb2="00000000" w:usb3="00000000" w:csb0="00040000" w:csb1="00000000"/>
    <w:embedRegular r:id="rId3" w:fontKey="{6C5F48F7-2864-43CE-9579-EDEAB5DC09BA}"/>
  </w:font>
  <w:font w:name="方正小标宋简体">
    <w:panose1 w:val="02000000000000000000"/>
    <w:charset w:val="86"/>
    <w:family w:val="auto"/>
    <w:pitch w:val="default"/>
    <w:sig w:usb0="A00002BF" w:usb1="184F6CFA" w:usb2="00000012" w:usb3="00000000" w:csb0="00040001" w:csb1="00000000"/>
    <w:embedRegular r:id="rId4" w:fontKey="{D59F0567-F4F7-4BDD-B581-F553ACBD7823}"/>
  </w:font>
  <w:font w:name="方正小标宋_GBK">
    <w:panose1 w:val="02000000000000000000"/>
    <w:charset w:val="86"/>
    <w:family w:val="auto"/>
    <w:pitch w:val="default"/>
    <w:sig w:usb0="A00002BF" w:usb1="38CF7CFA" w:usb2="00082016" w:usb3="00000000" w:csb0="00040001" w:csb1="00000000"/>
    <w:embedRegular r:id="rId5" w:fontKey="{351FE0B2-E489-4154-B1C2-7E369EBBA13C}"/>
  </w:font>
  <w:font w:name="方正仿宋_GB2312">
    <w:panose1 w:val="02000000000000000000"/>
    <w:charset w:val="86"/>
    <w:family w:val="auto"/>
    <w:pitch w:val="default"/>
    <w:sig w:usb0="A00002BF" w:usb1="184F6CFA" w:usb2="00000012" w:usb3="00000000" w:csb0="00040001" w:csb1="00000000"/>
    <w:embedRegular r:id="rId6" w:fontKey="{8B3FE3CA-23E8-4BF7-A3EA-4F29361A350F}"/>
  </w:font>
  <w:font w:name="仿宋">
    <w:panose1 w:val="02010609060101010101"/>
    <w:charset w:val="86"/>
    <w:family w:val="auto"/>
    <w:pitch w:val="default"/>
    <w:sig w:usb0="800002BF" w:usb1="38CF7CFA" w:usb2="00000016" w:usb3="00000000" w:csb0="00040001" w:csb1="00000000"/>
    <w:embedRegular r:id="rId7" w:fontKey="{248637AD-A2E3-48C6-9F98-3E0E5979E1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  \* MERGEFORMAT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  \* MERGEFORMAT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rPr>
        <w:rStyle w:val="15"/>
        <w:sz w:val="24"/>
        <w:szCs w:val="24"/>
      </w:rPr>
    </w:pPr>
    <w:r>
      <w:rPr>
        <w:rStyle w:val="15"/>
        <w:rFonts w:hint="eastAsia"/>
        <w:sz w:val="24"/>
        <w:szCs w:val="24"/>
      </w:rPr>
      <w:t xml:space="preserve">— </w:t>
    </w:r>
    <w:r>
      <w:rPr>
        <w:sz w:val="24"/>
        <w:szCs w:val="24"/>
      </w:rPr>
      <w:fldChar w:fldCharType="begin"/>
    </w:r>
    <w:r>
      <w:rPr>
        <w:rStyle w:val="15"/>
        <w:sz w:val="24"/>
        <w:szCs w:val="24"/>
      </w:rPr>
      <w:instrText xml:space="preserve">PAGE  </w:instrText>
    </w:r>
    <w:r>
      <w:rPr>
        <w:sz w:val="24"/>
        <w:szCs w:val="24"/>
      </w:rPr>
      <w:fldChar w:fldCharType="separate"/>
    </w:r>
    <w:r>
      <w:rPr>
        <w:rStyle w:val="15"/>
        <w:sz w:val="24"/>
        <w:szCs w:val="24"/>
      </w:rPr>
      <w:t>2</w:t>
    </w:r>
    <w:r>
      <w:rPr>
        <w:sz w:val="24"/>
        <w:szCs w:val="24"/>
      </w:rPr>
      <w:fldChar w:fldCharType="end"/>
    </w:r>
    <w:r>
      <w:rPr>
        <w:rStyle w:val="15"/>
        <w:rFonts w:hint="eastAsia"/>
        <w:sz w:val="24"/>
        <w:szCs w:val="24"/>
      </w:rPr>
      <w:t xml:space="preserve"> —</w:t>
    </w:r>
  </w:p>
  <w:p>
    <w:pP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YWM5Mjc0ZjZiNTc1ZmY5Njk0MTQwOWMyYTlhZmEifQ=="/>
    <w:docVar w:name="KSO_WPS_MARK_KEY" w:val="9920a277-c0c3-43b4-93d3-1636fe398e0b"/>
  </w:docVars>
  <w:rsids>
    <w:rsidRoot w:val="00172A27"/>
    <w:rsid w:val="01A54239"/>
    <w:rsid w:val="05E95AA6"/>
    <w:rsid w:val="09393553"/>
    <w:rsid w:val="095A75BF"/>
    <w:rsid w:val="0A1925B6"/>
    <w:rsid w:val="0C180A78"/>
    <w:rsid w:val="0D276746"/>
    <w:rsid w:val="0D464D9C"/>
    <w:rsid w:val="0DD52794"/>
    <w:rsid w:val="0E956870"/>
    <w:rsid w:val="10C666A5"/>
    <w:rsid w:val="1223366A"/>
    <w:rsid w:val="143877FD"/>
    <w:rsid w:val="19E805B2"/>
    <w:rsid w:val="1AC44201"/>
    <w:rsid w:val="216E06EE"/>
    <w:rsid w:val="22FE234B"/>
    <w:rsid w:val="277E6F02"/>
    <w:rsid w:val="29990575"/>
    <w:rsid w:val="2AF6742D"/>
    <w:rsid w:val="2B7D4651"/>
    <w:rsid w:val="2DB271B7"/>
    <w:rsid w:val="2E833798"/>
    <w:rsid w:val="312A2265"/>
    <w:rsid w:val="36FC0F5D"/>
    <w:rsid w:val="375773F8"/>
    <w:rsid w:val="393E32BB"/>
    <w:rsid w:val="3C877F32"/>
    <w:rsid w:val="3DB215DB"/>
    <w:rsid w:val="419B2857"/>
    <w:rsid w:val="41D71DA8"/>
    <w:rsid w:val="422335FA"/>
    <w:rsid w:val="468E5049"/>
    <w:rsid w:val="49FF08A5"/>
    <w:rsid w:val="4B3D2BEC"/>
    <w:rsid w:val="4B60605B"/>
    <w:rsid w:val="4C6611ED"/>
    <w:rsid w:val="501F1953"/>
    <w:rsid w:val="552A0475"/>
    <w:rsid w:val="578D10CB"/>
    <w:rsid w:val="595E7B40"/>
    <w:rsid w:val="5A5915AC"/>
    <w:rsid w:val="5B0B1E76"/>
    <w:rsid w:val="5CD32F5A"/>
    <w:rsid w:val="60BD4F83"/>
    <w:rsid w:val="657B7535"/>
    <w:rsid w:val="68174738"/>
    <w:rsid w:val="6A12486A"/>
    <w:rsid w:val="753C4E9B"/>
    <w:rsid w:val="76574799"/>
    <w:rsid w:val="781113A7"/>
    <w:rsid w:val="791E6510"/>
    <w:rsid w:val="7A0C45CA"/>
    <w:rsid w:val="7C8D4A41"/>
    <w:rsid w:val="7F7E686D"/>
    <w:rsid w:val="7F855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paragraph" w:styleId="5">
    <w:name w:val="heading 7"/>
    <w:basedOn w:val="1"/>
    <w:next w:val="1"/>
    <w:qFormat/>
    <w:uiPriority w:val="0"/>
    <w:pPr>
      <w:keepNext/>
      <w:keepLines/>
      <w:widowControl w:val="0"/>
      <w:spacing w:line="316" w:lineRule="auto"/>
      <w:outlineLvl w:val="6"/>
    </w:pPr>
    <w:rPr>
      <w:b/>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style>
  <w:style w:type="paragraph" w:styleId="7">
    <w:name w:val="Body Text"/>
    <w:basedOn w:val="1"/>
    <w:unhideWhenUsed/>
    <w:qFormat/>
    <w:uiPriority w:val="99"/>
    <w:pPr>
      <w:spacing w:before="100" w:beforeAutospacing="1"/>
    </w:pPr>
    <w:rPr>
      <w:rFonts w:ascii="Calibri" w:hAnsi="Calibri" w:eastAsia="宋体" w:cs="Times New Roman"/>
      <w:szCs w:val="21"/>
    </w:rPr>
  </w:style>
  <w:style w:type="paragraph" w:styleId="8">
    <w:name w:val="Body Text Indent"/>
    <w:basedOn w:val="1"/>
    <w:unhideWhenUsed/>
    <w:qFormat/>
    <w:uiPriority w:val="0"/>
    <w:pPr>
      <w:spacing w:beforeLines="0" w:afterLines="0"/>
      <w:ind w:firstLine="640" w:firstLineChars="200"/>
    </w:pPr>
    <w:rPr>
      <w:rFonts w:hint="default"/>
      <w:sz w:val="3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8"/>
    <w:unhideWhenUsed/>
    <w:qFormat/>
    <w:uiPriority w:val="99"/>
    <w:pPr>
      <w:spacing w:beforeLines="0" w:afterLines="0"/>
      <w:ind w:firstLine="420"/>
    </w:pPr>
    <w:rPr>
      <w:rFonts w:hint="default"/>
      <w:sz w:val="32"/>
    </w:rPr>
  </w:style>
  <w:style w:type="character" w:styleId="15">
    <w:name w:val="page number"/>
    <w:qFormat/>
    <w:uiPriority w:val="0"/>
  </w:style>
  <w:style w:type="paragraph" w:customStyle="1" w:styleId="16">
    <w:name w:val="BodyText1I2"/>
    <w:basedOn w:val="17"/>
    <w:qFormat/>
    <w:uiPriority w:val="0"/>
    <w:pPr>
      <w:spacing w:before="100" w:beforeAutospacing="1" w:after="0"/>
      <w:ind w:left="0" w:firstLine="420" w:firstLineChars="200"/>
    </w:pPr>
    <w:rPr>
      <w:rFonts w:ascii="Calibri" w:hAnsi="Calibri"/>
    </w:rPr>
  </w:style>
  <w:style w:type="paragraph" w:customStyle="1" w:styleId="17">
    <w:name w:val="BodyTextIndent"/>
    <w:basedOn w:val="1"/>
    <w:qFormat/>
    <w:uiPriority w:val="0"/>
    <w:pPr>
      <w:spacing w:after="120"/>
      <w:ind w:left="420" w:leftChars="200"/>
    </w:pPr>
  </w:style>
  <w:style w:type="paragraph" w:customStyle="1" w:styleId="18">
    <w:name w:val="标题1"/>
    <w:basedOn w:val="3"/>
    <w:qFormat/>
    <w:uiPriority w:val="0"/>
    <w:rPr>
      <w:rFonts w:eastAsia="黑体"/>
    </w:rPr>
  </w:style>
  <w:style w:type="paragraph" w:customStyle="1" w:styleId="19">
    <w:name w:val="首行缩进"/>
    <w:basedOn w:val="1"/>
    <w:qFormat/>
    <w:uiPriority w:val="0"/>
    <w:pPr>
      <w:ind w:firstLine="480" w:firstLineChars="200"/>
    </w:pPr>
    <w:rPr>
      <w:lang w:val="zh-CN"/>
    </w:rPr>
  </w:style>
  <w:style w:type="paragraph" w:customStyle="1" w:styleId="20">
    <w:name w:val="Table Paragraph"/>
    <w:basedOn w:val="1"/>
    <w:qFormat/>
    <w:uiPriority w:val="0"/>
    <w:pPr>
      <w:autoSpaceDE w:val="0"/>
      <w:autoSpaceDN w:val="0"/>
      <w:jc w:val="left"/>
    </w:pPr>
    <w:rPr>
      <w:rFonts w:ascii="宋体" w:hAnsi="宋体" w:eastAsia="宋体" w:cs="宋体"/>
      <w:kern w:val="0"/>
      <w:sz w:val="22"/>
      <w:szCs w:val="22"/>
    </w:rPr>
  </w:style>
  <w:style w:type="paragraph" w:customStyle="1" w:styleId="21">
    <w:name w:val="BodyText1I"/>
    <w:basedOn w:val="1"/>
    <w:qFormat/>
    <w:uiPriority w:val="99"/>
    <w:pPr>
      <w:snapToGrid w:val="0"/>
      <w:spacing w:line="360" w:lineRule="auto"/>
      <w:ind w:firstLine="420" w:firstLineChars="100"/>
    </w:pPr>
    <w:rPr>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4274</Words>
  <Characters>4396</Characters>
  <Lines>0</Lines>
  <Paragraphs>0</Paragraphs>
  <TotalTime>7</TotalTime>
  <ScaleCrop>false</ScaleCrop>
  <LinksUpToDate>false</LinksUpToDate>
  <CharactersWithSpaces>5007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2024-02-22T02:03:00Z</dcterms:created>
  <dc:creator>1402836399</dc:creator>
  <cp:lastModifiedBy>张建</cp:lastModifiedBy>
  <cp:lastPrinted>2024-05-11T03:34:00Z</cp:lastPrinted>
  <dcterms:modified xsi:type="dcterms:W3CDTF">2024-05-20T08:40:28Z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44BF5A05299942DAB69C47C725DD659C_13</vt:lpwstr>
  </property>
</Properties>
</file>