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附件2：</w:t>
      </w:r>
    </w:p>
    <w:p>
      <w:pPr>
        <w:spacing w:after="120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sz w:val="2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</w:rPr>
        <w:t>年度部门整体支出绩效评价基础数据表</w:t>
      </w:r>
    </w:p>
    <w:tbl>
      <w:tblPr>
        <w:tblStyle w:val="3"/>
        <w:tblW w:w="96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54"/>
        <w:gridCol w:w="1189"/>
        <w:gridCol w:w="849"/>
        <w:gridCol w:w="1129"/>
        <w:gridCol w:w="1111"/>
        <w:gridCol w:w="1081"/>
        <w:gridCol w:w="9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财政供养人员情况（人）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编制数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202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年实际在职人数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控制率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50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46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92%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经费控制情况（万元）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202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年决算数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202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年预算数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202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0"/>
                <w:szCs w:val="20"/>
                <w:highlight w:val="none"/>
              </w:rPr>
              <w:t>年决算数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三公经费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0.37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0.8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0.75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1、公务用车购置和维护经费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   其中：公车购置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         公车运行维护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2、出国经费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3、公务接待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0.37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0.8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0.75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项目支出：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1990.12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1803.9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1803.9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1、业务工作经费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1830.62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1646.78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1646.78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2、运行维护经费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159.50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157.12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157.12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3、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eastAsia="zh-CN"/>
              </w:rPr>
              <w:t>区级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专项资金（一个专项一行）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159.5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157.16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157.16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firstLine="394" w:firstLineChars="200"/>
              <w:jc w:val="left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高考学考成自考中考经费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85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85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85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 xml:space="preserve">    体育经费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20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20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 xml:space="preserve">    老年门协体协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 xml:space="preserve">    支教经费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34.5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34.5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34.5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 xml:space="preserve">    高中贫困生生活费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13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10.66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10.66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公用经费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81.57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80.07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80.07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其中：办公经费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51.57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50.07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50.07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      水费、电费、差旅费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          会议费、培训费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FF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政府采购金额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——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60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66.7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 xml:space="preserve">部门基本支出预算调整 </w:t>
            </w:r>
          </w:p>
        </w:tc>
        <w:tc>
          <w:tcPr>
            <w:tcW w:w="20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——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1815.38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1815.38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楼堂馆所控制情况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（202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年完工项目）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批复规模</w:t>
            </w: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（㎡）</w:t>
            </w:r>
          </w:p>
        </w:tc>
        <w:tc>
          <w:tcPr>
            <w:tcW w:w="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实际规模（㎡）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规模控制率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预算投资（万元）</w:t>
            </w:r>
          </w:p>
        </w:tc>
        <w:tc>
          <w:tcPr>
            <w:tcW w:w="10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实际投资（万元）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0"/>
                <w:szCs w:val="20"/>
                <w:highlight w:val="none"/>
              </w:rPr>
              <w:t>投资概算控制率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10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3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厉行节约保障措施</w:t>
            </w:r>
          </w:p>
        </w:tc>
        <w:tc>
          <w:tcPr>
            <w:tcW w:w="631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1、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预算管理精细化　2. 采购管理规范化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3、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财务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管理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</w:rPr>
              <w:t>透明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highlight w:val="none"/>
                <w:lang w:val="en-US" w:eastAsia="zh-CN"/>
              </w:rPr>
              <w:t>化</w:t>
            </w:r>
          </w:p>
        </w:tc>
      </w:tr>
    </w:tbl>
    <w:p>
      <w:pPr>
        <w:widowControl/>
        <w:spacing w:afterLines="0" w:line="400" w:lineRule="exact"/>
        <w:jc w:val="left"/>
        <w:rPr>
          <w:rFonts w:hint="default" w:ascii="Times New Roman" w:hAnsi="Times New Roman" w:eastAsia="仿宋_GB2312" w:cs="Times New Roman"/>
          <w:sz w:val="22"/>
          <w:highlight w:val="none"/>
        </w:rPr>
      </w:pPr>
      <w:r>
        <w:rPr>
          <w:rFonts w:hint="default" w:ascii="Times New Roman" w:hAnsi="Times New Roman" w:eastAsia="仿宋_GB2312" w:cs="Times New Roman"/>
          <w:sz w:val="22"/>
          <w:highlight w:val="none"/>
        </w:rPr>
        <w:t>说明：“项目支出”需要填报基本支出以外的所有项目支出情况，“公用经费”填报基本支出中的一般商品和服务支出。</w:t>
      </w:r>
    </w:p>
    <w:p>
      <w:pPr>
        <w:pStyle w:val="6"/>
        <w:rPr>
          <w:rFonts w:hint="default" w:ascii="Times New Roman" w:hAnsi="Times New Roman" w:eastAsia="仿宋_GB2312" w:cs="Times New Roman"/>
          <w:sz w:val="22"/>
          <w:highlight w:val="none"/>
        </w:rPr>
      </w:pPr>
      <w:r>
        <w:rPr>
          <w:rFonts w:hint="default" w:ascii="Times New Roman" w:hAnsi="Times New Roman" w:eastAsia="仿宋_GB2312" w:cs="Times New Roman"/>
          <w:sz w:val="22"/>
          <w:highlight w:val="none"/>
        </w:rPr>
        <w:t>填表人：</w:t>
      </w:r>
      <w:r>
        <w:rPr>
          <w:rFonts w:hint="eastAsia" w:eastAsia="仿宋_GB2312" w:cs="Times New Roman"/>
          <w:sz w:val="22"/>
          <w:highlight w:val="none"/>
          <w:lang w:val="en-US" w:eastAsia="zh-CN"/>
        </w:rPr>
        <w:t>詹沮波</w:t>
      </w:r>
      <w:r>
        <w:rPr>
          <w:rFonts w:hint="default" w:ascii="Times New Roman" w:hAnsi="Times New Roman" w:eastAsia="仿宋_GB2312" w:cs="Times New Roman"/>
          <w:sz w:val="22"/>
          <w:highlight w:val="none"/>
        </w:rPr>
        <w:t xml:space="preserve">  填报日期：</w:t>
      </w:r>
      <w:r>
        <w:rPr>
          <w:rFonts w:hint="eastAsia" w:eastAsia="仿宋_GB2312" w:cs="Times New Roman"/>
          <w:sz w:val="22"/>
          <w:highlight w:val="none"/>
          <w:lang w:val="en-US" w:eastAsia="zh-CN"/>
        </w:rPr>
        <w:t>2024-4-22</w:t>
      </w:r>
      <w:r>
        <w:rPr>
          <w:rFonts w:hint="default" w:ascii="Times New Roman" w:hAnsi="Times New Roman" w:eastAsia="仿宋_GB2312" w:cs="Times New Roman"/>
          <w:sz w:val="22"/>
          <w:highlight w:val="none"/>
        </w:rPr>
        <w:t xml:space="preserve">  联系电话：</w:t>
      </w:r>
      <w:r>
        <w:rPr>
          <w:rFonts w:hint="eastAsia" w:eastAsia="仿宋_GB2312" w:cs="Times New Roman"/>
          <w:sz w:val="22"/>
          <w:highlight w:val="none"/>
          <w:lang w:val="en-US" w:eastAsia="zh-CN"/>
        </w:rPr>
        <w:t>8413667</w:t>
      </w:r>
      <w:r>
        <w:rPr>
          <w:rFonts w:hint="default" w:ascii="Times New Roman" w:hAnsi="Times New Roman" w:eastAsia="仿宋_GB2312" w:cs="Times New Roman"/>
          <w:sz w:val="22"/>
          <w:highlight w:val="none"/>
        </w:rPr>
        <w:t xml:space="preserve"> 单位负责人签字：</w:t>
      </w:r>
    </w:p>
    <w:p>
      <w:pPr>
        <w:pStyle w:val="6"/>
        <w:rPr>
          <w:rFonts w:hint="default" w:ascii="Times New Roman" w:hAnsi="Times New Roman" w:eastAsia="仿宋_GB2312" w:cs="Times New Roman"/>
          <w:sz w:val="22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>岳阳市云溪区教育体育局（本级）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139001 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>年</w:t>
      </w:r>
      <w:r>
        <w:rPr>
          <w:rFonts w:hint="eastAsia" w:eastAsia="仿宋_GB2312"/>
          <w:sz w:val="32"/>
          <w:lang w:val="en-US" w:eastAsia="zh-CN"/>
        </w:rPr>
        <w:t>4</w:t>
      </w:r>
      <w:r>
        <w:rPr>
          <w:rFonts w:hint="eastAsia" w:eastAsia="仿宋_GB2312"/>
          <w:sz w:val="32"/>
        </w:rPr>
        <w:t>月</w:t>
      </w:r>
      <w:r>
        <w:rPr>
          <w:rFonts w:hint="eastAsia" w:eastAsia="仿宋_GB2312"/>
          <w:sz w:val="32"/>
          <w:lang w:val="en-US" w:eastAsia="zh-CN"/>
        </w:rPr>
        <w:t>22</w:t>
      </w:r>
      <w:r>
        <w:rPr>
          <w:rFonts w:hint="eastAsia" w:eastAsia="仿宋_GB2312"/>
          <w:sz w:val="32"/>
        </w:rPr>
        <w:t>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3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1262"/>
        <w:gridCol w:w="5"/>
        <w:gridCol w:w="5"/>
        <w:gridCol w:w="1158"/>
        <w:gridCol w:w="311"/>
        <w:gridCol w:w="422"/>
        <w:gridCol w:w="477"/>
        <w:gridCol w:w="185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980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1031.81</w:t>
            </w:r>
          </w:p>
        </w:tc>
        <w:tc>
          <w:tcPr>
            <w:tcW w:w="126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3619.28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3619.28</w:t>
            </w:r>
          </w:p>
        </w:tc>
        <w:tc>
          <w:tcPr>
            <w:tcW w:w="5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其中：一般公共预算：3619.28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其中：基本支出：1815.38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项目支出：1803.9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_GB2312"/>
                <w:sz w:val="18"/>
                <w:szCs w:val="18"/>
              </w:rPr>
              <w:t>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标1：按时足额发放教师工资与绩效工资，保民生。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目标2：及时拨付公用经费，保运转。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目标3：按时拨付、落实项目经费，保安全。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仿宋" w:hAnsi="仿宋" w:eastAsia="仿宋" w:cs="仿宋_GB2312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标4：落实建设经费，积极改善办学条件，促均衡。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各项目标全部完成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7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63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教师待遇到位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率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各单位资金到位率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建设经费到位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率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落实教师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待遇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人数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1225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1225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拨款单位个数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2023年12月31日前落实到位率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提高资金使用效益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培养合格的公民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99%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普及九年义务教育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75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家长满意度</w:t>
            </w:r>
          </w:p>
        </w:tc>
        <w:tc>
          <w:tcPr>
            <w:tcW w:w="1272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90%</w:t>
            </w:r>
          </w:p>
        </w:tc>
        <w:tc>
          <w:tcPr>
            <w:tcW w:w="11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97%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88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学生满意度</w:t>
            </w:r>
          </w:p>
        </w:tc>
        <w:tc>
          <w:tcPr>
            <w:tcW w:w="127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90%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96%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2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优秀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755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3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lang w:val="en-US" w:eastAsia="zh-CN"/>
              </w:rPr>
              <w:t>许  娇</w:t>
            </w:r>
          </w:p>
        </w:tc>
        <w:tc>
          <w:tcPr>
            <w:tcW w:w="3561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区派驻纪检组长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区纪委</w:t>
            </w:r>
          </w:p>
        </w:tc>
        <w:tc>
          <w:tcPr>
            <w:tcW w:w="3106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03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李开军</w:t>
            </w:r>
          </w:p>
        </w:tc>
        <w:tc>
          <w:tcPr>
            <w:tcW w:w="3561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</w:rPr>
              <w:t>区教育体局副局长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云溪区教体局</w:t>
            </w:r>
          </w:p>
        </w:tc>
        <w:tc>
          <w:tcPr>
            <w:tcW w:w="3106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5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汪</w:t>
            </w:r>
            <w:r>
              <w:rPr>
                <w:rFonts w:hint="eastAsia" w:ascii="仿宋" w:hAnsi="仿宋" w:eastAsia="仿宋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_GB2312"/>
                <w:sz w:val="24"/>
                <w:szCs w:val="24"/>
              </w:rPr>
              <w:t>锐</w:t>
            </w:r>
          </w:p>
        </w:tc>
        <w:tc>
          <w:tcPr>
            <w:tcW w:w="3561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</w:rPr>
              <w:t>区教育局纪监室主任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云溪区教体局</w:t>
            </w:r>
          </w:p>
        </w:tc>
        <w:tc>
          <w:tcPr>
            <w:tcW w:w="3106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006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刘玉壶</w:t>
            </w:r>
          </w:p>
        </w:tc>
        <w:tc>
          <w:tcPr>
            <w:tcW w:w="3561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</w:rPr>
              <w:t>区教育局计财股长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云溪区教体局</w:t>
            </w:r>
          </w:p>
        </w:tc>
        <w:tc>
          <w:tcPr>
            <w:tcW w:w="3106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96" w:hRule="atLeast"/>
          <w:jc w:val="center"/>
        </w:trPr>
        <w:tc>
          <w:tcPr>
            <w:tcW w:w="980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334" w:hRule="atLeast"/>
          <w:jc w:val="center"/>
        </w:trPr>
        <w:tc>
          <w:tcPr>
            <w:tcW w:w="980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779" w:hRule="atLeast"/>
          <w:jc w:val="center"/>
        </w:trPr>
        <w:tc>
          <w:tcPr>
            <w:tcW w:w="980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default" w:eastAsia="仿宋_GB2312"/>
          <w:lang w:val="en-US" w:eastAsia="zh-CN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</w:t>
      </w:r>
      <w:r>
        <w:rPr>
          <w:rFonts w:hint="eastAsia" w:eastAsia="仿宋_GB2312" w:cs="仿宋_GB2312"/>
          <w:bCs/>
          <w:sz w:val="28"/>
          <w:szCs w:val="28"/>
          <w:lang w:val="en-US" w:eastAsia="zh-CN"/>
        </w:rPr>
        <w:t>詹清波</w:t>
      </w:r>
      <w:r>
        <w:rPr>
          <w:rFonts w:hint="eastAsia" w:eastAsia="仿宋_GB2312" w:cs="仿宋_GB2312"/>
          <w:bCs/>
          <w:sz w:val="28"/>
          <w:szCs w:val="28"/>
        </w:rPr>
        <w:t xml:space="preserve">                   联系电话：</w:t>
      </w:r>
      <w:r>
        <w:rPr>
          <w:rFonts w:hint="eastAsia" w:eastAsia="仿宋_GB2312" w:cs="仿宋_GB2312"/>
          <w:bCs/>
          <w:sz w:val="28"/>
          <w:szCs w:val="28"/>
          <w:lang w:val="en-US" w:eastAsia="zh-CN"/>
        </w:rPr>
        <w:t>8413667</w:t>
      </w:r>
    </w:p>
    <w:p/>
    <w:p>
      <w:pPr>
        <w:spacing w:line="560" w:lineRule="exact"/>
        <w:jc w:val="center"/>
        <w:rPr>
          <w:rFonts w:ascii="仿宋_GB2312" w:eastAsia="仿宋_GB2312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spacing w:line="560" w:lineRule="exact"/>
        <w:jc w:val="center"/>
        <w:rPr>
          <w:rFonts w:ascii="仿宋_GB2312" w:eastAsia="仿宋_GB2312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jc w:val="center"/>
        <w:rPr>
          <w:rFonts w:ascii="仿宋_GB2312" w:eastAsia="仿宋_GB2312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jc w:val="center"/>
        <w:rPr>
          <w:rFonts w:ascii="仿宋_GB2312" w:eastAsia="仿宋_GB2312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jc w:val="center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云溪区教育体育局202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年度整体绩效</w:t>
      </w:r>
    </w:p>
    <w:p>
      <w:pPr>
        <w:spacing w:line="560" w:lineRule="exact"/>
        <w:jc w:val="center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自评报告</w:t>
      </w:r>
    </w:p>
    <w:p>
      <w:pPr>
        <w:spacing w:line="560" w:lineRule="exact"/>
        <w:ind w:firstLine="643" w:firstLineChars="200"/>
        <w:rPr>
          <w:rFonts w:hint="eastAsia" w:ascii="宋体" w:hAnsi="宋体" w:eastAsia="宋体" w:cs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为了扎实推进我区预算绩效管理工作，强化部门责任意识，切实提高财政资金使用效益，根据岳云财函〔202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〕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号文件的要求，我局认真开展了年度部门整体支出绩效自评工作，现将自评情况报告如下：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一、部门（单位）概况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年岳阳市云溪区教育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体育局（本级）共有编制数50个，其中公务员编制10个，工勤编制1个，事业编制39个。年初实有编制人数46人，年末实有编制人数41人，5人退休。年末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退休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val="en-US" w:eastAsia="zh-CN"/>
        </w:rPr>
        <w:t>人员50</w:t>
      </w: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人。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云溪区教育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体育局（本级）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年末固定资产</w:t>
      </w:r>
      <w:r>
        <w:rPr>
          <w:rFonts w:hint="eastAsia" w:ascii="仿宋_GB2312" w:hAnsi="等线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746.6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云溪区教育体育局（本级）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年总收入为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3619.28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万元，其中：财政拨款收入总预算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3619.28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万元，其中：一般公共预算拨款收入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1031.81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万元，政府性基金预算拨款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万元；纳入财政专户管理的其他收入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万元。全年实际支出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3619.28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万元，其中：基本支出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1815.38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万元；项目支出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1803.9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二、一般公共预算支出情况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（一）基本支出情况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我部门努力提高教育资金效益，确保每一分钱用在刀刃上。基本支出的主要方面为：人员支出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1361.42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万元；公用支出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453.96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万元。我部门还按照上级要求，从制度上对“三公”经费支出进行了规范。教体局机关“三公经费”预算总额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0.8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万元，本年实际支出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0.75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万元，总额控制很好。因公出国费用及公务车购置费没有列入年初预算，也没有财政追加，本年无发生数。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（二）项目支出情况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color w:val="4874CB" w:themeColor="accent1"/>
          <w:sz w:val="32"/>
          <w:szCs w:val="32"/>
          <w14:textFill>
            <w14:solidFill>
              <w14:schemeClr w14:val="accent1"/>
            </w14:solidFill>
          </w14:textFill>
        </w:rPr>
      </w:pP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年，我部门在专项支出项目资金为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1803.9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万元，其中专项商品和服务支出157.12万元，主要用于区级政策性配套经费，全部按政策要求及时拨付到位；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支持学前教育发展410.54万元、教师培训140万元、校车运行175.43万元、建档立卡贫困户子女资助及免教辅补助89.89万元、学校保安工资310.92万元、公费师范生45.4万元、电改100万元、公租房374.6等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专项资金中涉及的项目招投标、政府采购事项，教育系统均严格按照要求进行了公开招标，严格合同的签订，落实采招物资和服务的验收，做好资金支付的审核审批手续。通过明确各流程步骤上的关键控制措施，防范建设项目业务活动的相关风险，确保建设项目管理规范有序。建设项目管理内部控制适用于教育建设项目申报审批、项目实施管理以及项目竣工验收工作的管理。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三、政府性基金预算支出情况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政府性基金预算为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hAnsi="仿宋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四、国有资本经营预算支出情况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无国有资本经营预算支出情况。</w:t>
      </w:r>
    </w:p>
    <w:p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社会保险基金预算支出情况</w:t>
      </w:r>
    </w:p>
    <w:p>
      <w:pPr>
        <w:numPr>
          <w:ilvl w:val="0"/>
          <w:numId w:val="0"/>
        </w:numPr>
        <w:spacing w:line="560" w:lineRule="exact"/>
        <w:rPr>
          <w:rFonts w:hint="default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 xml:space="preserve">    无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六、部门整体支出绩效情况</w:t>
      </w:r>
    </w:p>
    <w:p>
      <w:pPr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教育系统严格执行不断优化资金支出结构，提高资金的使用效益，促进了学校之间的均衡发展，有效地抑制了盲目投资和建设浪费，使资金的使用效益达到最优。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一是办学条件日益优化。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一是启动了云溪小学改扩建项目。将投入8000万元，</w:t>
      </w:r>
      <w:r>
        <w:rPr>
          <w:rFonts w:hint="eastAsia" w:ascii="仿宋_GB2312" w:hAnsi="仿宋" w:eastAsia="仿宋_GB2312" w:cs="仿宋_GB2312"/>
          <w:sz w:val="32"/>
          <w:szCs w:val="32"/>
        </w:rPr>
        <w:t>拆除2栋C级危房，新建教室、学生食堂等面积约为15000㎡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二是物流职校整体搬迁。招收新生人数翻了3番。三是城南幼儿园开园。</w:t>
      </w:r>
      <w:r>
        <w:rPr>
          <w:rFonts w:hint="eastAsia" w:ascii="仿宋_GB2312" w:hAnsi="仿宋" w:eastAsia="仿宋_GB2312" w:cs="仿宋_GB2312"/>
          <w:sz w:val="32"/>
          <w:szCs w:val="32"/>
          <w:lang w:val="zh-CN" w:eastAsia="zh-CN"/>
        </w:rPr>
        <w:t>总投入3000多万元的城南幼儿园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9月份</w:t>
      </w:r>
      <w:r>
        <w:rPr>
          <w:rFonts w:hint="eastAsia" w:ascii="仿宋_GB2312" w:hAnsi="仿宋" w:eastAsia="仿宋_GB2312" w:cs="仿宋_GB2312"/>
          <w:sz w:val="32"/>
          <w:szCs w:val="32"/>
          <w:lang w:val="zh-CN" w:eastAsia="zh-CN"/>
        </w:rPr>
        <w:t>顺利开园，可提供360个优质学位。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" w:eastAsia="仿宋_GB2312" w:cs="仿宋_GB2312"/>
          <w:sz w:val="32"/>
          <w:szCs w:val="32"/>
          <w:lang w:val="zh-CN" w:eastAsia="zh-CN"/>
        </w:rPr>
        <w:t>是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项目建设有序推进</w:t>
      </w:r>
      <w:r>
        <w:rPr>
          <w:rFonts w:hint="eastAsia" w:ascii="仿宋_GB2312" w:hAnsi="仿宋" w:eastAsia="仿宋_GB2312" w:cs="仿宋_GB2312"/>
          <w:sz w:val="32"/>
          <w:szCs w:val="32"/>
          <w:lang w:val="zh-CN" w:eastAsia="zh-CN"/>
        </w:rPr>
        <w:t>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今年已完成了文桥中心小学教职工周转房、岳化二小食堂、活动中心及教职工周转房项目主体工程建设。长炼学校食堂改造已完成，秋季开学投入使用，</w:t>
      </w:r>
      <w:r>
        <w:rPr>
          <w:rFonts w:hint="eastAsia" w:ascii="仿宋_GB2312" w:hAnsi="仿宋" w:eastAsia="仿宋_GB2312" w:cs="仿宋_GB2312"/>
          <w:sz w:val="32"/>
          <w:szCs w:val="32"/>
        </w:rPr>
        <w:t>开启了校地合力育人新篇章。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二是师生素养明显提升。一是配强建优行政队伍。提拔交流校长7名，约谈教学业绩靠后行政2名，轮换岗位6名；通过公开竞聘上岗方式，选聘2名35岁以下的青年副校长。二是优化教师队伍结构。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今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年，</w:t>
      </w:r>
      <w:r>
        <w:rPr>
          <w:rFonts w:hint="eastAsia" w:ascii="仿宋_GB2312" w:hAnsi="仿宋" w:eastAsia="仿宋_GB2312" w:cs="仿宋_GB2312"/>
          <w:sz w:val="32"/>
          <w:szCs w:val="32"/>
        </w:rPr>
        <w:t>通过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公费师范生安置、</w:t>
      </w:r>
      <w:r>
        <w:rPr>
          <w:rFonts w:hint="eastAsia" w:ascii="仿宋_GB2312" w:hAnsi="仿宋" w:eastAsia="仿宋_GB2312" w:cs="仿宋_GB2312"/>
          <w:sz w:val="32"/>
          <w:szCs w:val="32"/>
        </w:rPr>
        <w:t>公开招聘、四海揽才等形式，引进专业教师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45</w:t>
      </w:r>
      <w:r>
        <w:rPr>
          <w:rFonts w:hint="eastAsia" w:ascii="仿宋_GB2312" w:hAnsi="仿宋" w:eastAsia="仿宋_GB2312" w:cs="仿宋_GB2312"/>
          <w:sz w:val="32"/>
          <w:szCs w:val="32"/>
        </w:rPr>
        <w:t>名，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其中</w:t>
      </w:r>
      <w:r>
        <w:rPr>
          <w:rFonts w:hint="eastAsia" w:ascii="仿宋_GB2312" w:hAnsi="仿宋" w:eastAsia="仿宋_GB2312" w:cs="仿宋_GB2312"/>
          <w:sz w:val="32"/>
          <w:szCs w:val="32"/>
        </w:rPr>
        <w:t>公费师范生安置33名，公开招聘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教师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1名</w:t>
      </w:r>
      <w:r>
        <w:rPr>
          <w:rFonts w:hint="eastAsia" w:ascii="仿宋_GB2312" w:hAnsi="仿宋" w:eastAsia="仿宋_GB2312" w:cs="仿宋_GB2312"/>
          <w:sz w:val="32"/>
          <w:szCs w:val="32"/>
        </w:rPr>
        <w:t>、四海揽才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教师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 w:cs="仿宋_GB2312"/>
          <w:sz w:val="32"/>
          <w:szCs w:val="32"/>
        </w:rPr>
        <w:t>名，公开选调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教师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" w:eastAsia="仿宋_GB2312" w:cs="仿宋_GB2312"/>
          <w:sz w:val="32"/>
          <w:szCs w:val="32"/>
        </w:rPr>
        <w:t>名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 w:cs="仿宋_GB2312"/>
          <w:sz w:val="32"/>
          <w:szCs w:val="32"/>
        </w:rPr>
        <w:t>建立合理的教师交流机制，暑期区内教师交流49人。顺利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完成了</w:t>
      </w:r>
      <w:r>
        <w:rPr>
          <w:rFonts w:hint="eastAsia" w:ascii="仿宋_GB2312" w:hAnsi="仿宋" w:eastAsia="仿宋_GB2312" w:cs="仿宋_GB2312"/>
          <w:sz w:val="32"/>
          <w:szCs w:val="32"/>
        </w:rPr>
        <w:t>云溪区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首次组织的</w:t>
      </w:r>
      <w:r>
        <w:rPr>
          <w:rFonts w:hint="eastAsia" w:ascii="仿宋_GB2312" w:hAnsi="仿宋" w:eastAsia="仿宋_GB2312" w:cs="仿宋_GB2312"/>
          <w:sz w:val="32"/>
          <w:szCs w:val="32"/>
        </w:rPr>
        <w:t>教师中级职称评审工作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。</w:t>
      </w:r>
      <w:r>
        <w:rPr>
          <w:rFonts w:hint="eastAsia" w:ascii="仿宋_GB2312" w:hAnsi="仿宋" w:eastAsia="仿宋_GB2312" w:cs="仿宋_GB2312"/>
          <w:sz w:val="32"/>
          <w:szCs w:val="32"/>
        </w:rPr>
        <w:t>三是加强业务技能培训。坚持组织教师业务考试，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今年</w:t>
      </w:r>
      <w:r>
        <w:rPr>
          <w:rFonts w:hint="eastAsia" w:ascii="仿宋_GB2312" w:hAnsi="仿宋" w:eastAsia="仿宋_GB2312" w:cs="仿宋_GB2312"/>
          <w:sz w:val="32"/>
          <w:szCs w:val="32"/>
        </w:rPr>
        <w:t>684人参考，合格率100%，优秀率达到91.75%。开展了新招录教师集中培训、行政骨干培训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、心理健康教师培训</w:t>
      </w:r>
      <w:r>
        <w:rPr>
          <w:rFonts w:hint="eastAsia" w:ascii="仿宋_GB2312" w:hAnsi="仿宋" w:eastAsia="仿宋_GB2312" w:cs="仿宋_GB2312"/>
          <w:sz w:val="32"/>
          <w:szCs w:val="32"/>
        </w:rPr>
        <w:t>。区一中龙斌老师，参加全市青年教师课堂教学竞赛获得一等奖，代表岳阳市赴省参赛；曹茜等36名教师参加全市“金鹗杯”竞赛，获得金奖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2个一等奖10个</w:t>
      </w:r>
      <w:r>
        <w:rPr>
          <w:rFonts w:hint="eastAsia" w:ascii="仿宋_GB2312" w:hAnsi="仿宋" w:eastAsia="仿宋_GB2312" w:cs="仿宋_GB2312"/>
          <w:sz w:val="32"/>
          <w:szCs w:val="32"/>
        </w:rPr>
        <w:t>。选派了23名青年教师，到北京市第11中学跟岗学习3周。</w:t>
      </w:r>
    </w:p>
    <w:p>
      <w:pPr>
        <w:autoSpaceDN w:val="0"/>
        <w:spacing w:line="560" w:lineRule="exact"/>
        <w:ind w:firstLine="640" w:firstLineChars="200"/>
        <w:textAlignment w:val="center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三是教育公平成效显著。严控起始年级招生规模，严把招生政策关口、推进学校项目建设、内部挖潜扩班和引导合理分流等措施，全力化解大班额，为我区教育优质均衡发展打下了坚实基础。全区65人以上超大班额全部消除，55人以上大班额全部清零，实现全省大班额“清零”目标，赢得家长纷纷点赞。全面落实贫困学生应助尽助、特困教师应帮尽帮、控辍保学应读尽读政策，全区无一例因贫辍学、失学现象。</w:t>
      </w:r>
    </w:p>
    <w:p>
      <w:pPr>
        <w:autoSpaceDN w:val="0"/>
        <w:spacing w:line="560" w:lineRule="exact"/>
        <w:ind w:firstLine="640" w:firstLineChars="200"/>
        <w:textAlignment w:val="center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四是筑牢校园安全底线，防范安全隐患事故。一是强化校园安全管理。采取召开安全主题班会、观看安全教育警示片、开展应急演练等多种学生喜闻乐见的形式，做实安全宣传教育工作。主动开展安全隐患排查及整改，坚持学校安全隐患排查月报制度，建立隐患清单、责任清单和整改清单，并督促及时整改。二是守护校园食品安全。联合市场监管、卫健等部门开展了两次“护苗行动”，行动中发现问题做到立行立改；学校及公办幼儿园食堂“互联网+明厨亮灶”覆盖率达100％；全面落实了学校食品安全管理的“日管控、周排查、月调度”工作，全年未发生一起校园食品安全事故。三是加强学生心理健康建设。联合市中小学教师发展中心，组织62名中小学专(兼)职心理健康教师进行适(转)岗培训，提升了我区心理健康教育的专业水平。通过不断新招和培训心理健康专（兼）职教师，我区现有专职心理健康教师5人、兼职心理健康教师16人，成立了杨红丹心理健康学科工作室；全年开展心理健康教科研活动20场次；各学校能将心理健康纳入学校常规管理，与班主任日常、团队建设等有机结合。开齐开足心理健康教育课程，确保学校心理健康教育课每两周不少于1课时。突出仪式教育引领学生心理健康成长，利用每周一次的升国旗仪式、主题班会课团队课等形式，对学生进行集中心理疏导。扎实开展心理健康教育帮扶，针对问题突出学生，采取“一生一案”精准施策，每周每月对问题学生的问题心理进行个别疏导和辅导。</w:t>
      </w:r>
    </w:p>
    <w:p>
      <w:pPr>
        <w:autoSpaceDN w:val="0"/>
        <w:spacing w:line="560" w:lineRule="exact"/>
        <w:ind w:firstLine="640" w:firstLineChars="200"/>
        <w:textAlignment w:val="center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七、存在的问题及原因分析</w:t>
      </w:r>
    </w:p>
    <w:p>
      <w:pPr>
        <w:autoSpaceDN w:val="0"/>
        <w:spacing w:line="560" w:lineRule="exact"/>
        <w:ind w:firstLine="640" w:firstLineChars="200"/>
        <w:textAlignment w:val="center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在肯定全年教育工作成绩的同时，我们也清醒的意识到，我区教育工作相对于人民群众日益增长的教育需求还存在一定差距，主要表现在：一是优质教育资源供求紧张，城区教育布局急需调整、扩模增容；二是城区学校存在较大差距，教育发展还不平衡。</w:t>
      </w:r>
    </w:p>
    <w:p>
      <w:pPr>
        <w:autoSpaceDN w:val="0"/>
        <w:spacing w:line="560" w:lineRule="exact"/>
        <w:ind w:firstLine="640" w:firstLineChars="200"/>
        <w:textAlignment w:val="center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八、下一步改进措施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为预防范预算业务活动的相关风险，使预算更加规范、科学、准确，主要从两个方面努力：一是更加科学编制年初预算。有部分专项资金年初预算没有根据实际安排足，在实际执行的时候需要追加。预算编报时可以更加完善，教育部门根据部门工作计划，更加科学合理的安排教育预算。二是进一步严格预算执行管理。确保义务教育资金能用得科学、用得规范、用出效益。我们将努力创新工作方法，强化落实措施，奋发有为，努力推进各项工作再上新台阶。</w:t>
      </w:r>
    </w:p>
    <w:p>
      <w:pPr>
        <w:widowControl/>
        <w:spacing w:line="56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九、其他需要说明的情况</w:t>
      </w:r>
    </w:p>
    <w:p>
      <w:pPr>
        <w:spacing w:line="560" w:lineRule="exact"/>
        <w:rPr>
          <w:rFonts w:ascii="仿宋" w:hAnsi="仿宋" w:eastAsia="仿宋" w:cs="仿宋_GB2312"/>
          <w:bCs/>
          <w:sz w:val="28"/>
          <w:szCs w:val="28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无</w:t>
      </w:r>
    </w:p>
    <w:p/>
    <w:p/>
    <w:p/>
    <w:p/>
    <w:p>
      <w:pPr>
        <w:tabs>
          <w:tab w:val="left" w:pos="6630"/>
        </w:tabs>
        <w:ind w:firstLine="5120" w:firstLineChars="1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岳阳市云溪区教育体育局</w:t>
      </w:r>
    </w:p>
    <w:p>
      <w:pPr>
        <w:tabs>
          <w:tab w:val="left" w:pos="6630"/>
        </w:tabs>
        <w:ind w:firstLine="5120" w:firstLineChars="1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  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月2</w:t>
      </w:r>
      <w:r>
        <w:rPr>
          <w:rFonts w:ascii="仿宋_GB2312" w:eastAsia="仿宋_GB2312"/>
          <w:sz w:val="32"/>
          <w:szCs w:val="32"/>
        </w:rPr>
        <w:t>8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383" w:right="1179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sz w:val="24"/>
        <w:szCs w:val="24"/>
      </w:rPr>
    </w:pPr>
    <w:r>
      <w:rPr>
        <w:rStyle w:val="5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5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5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5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9A6E5"/>
    <w:multiLevelType w:val="singleLevel"/>
    <w:tmpl w:val="AF09A6E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YmYyMDEzOTY3Y2Y3YTc3YTNlNDgzYzRmMDBjOWEifQ=="/>
  </w:docVars>
  <w:rsids>
    <w:rsidRoot w:val="239D1925"/>
    <w:rsid w:val="00FB4547"/>
    <w:rsid w:val="04B54A0D"/>
    <w:rsid w:val="0ADD2F10"/>
    <w:rsid w:val="0BC419DA"/>
    <w:rsid w:val="0ED06D55"/>
    <w:rsid w:val="146B6E96"/>
    <w:rsid w:val="184B770B"/>
    <w:rsid w:val="1B2D1349"/>
    <w:rsid w:val="1D214EDE"/>
    <w:rsid w:val="215238B8"/>
    <w:rsid w:val="21BA320B"/>
    <w:rsid w:val="239D1925"/>
    <w:rsid w:val="267E514F"/>
    <w:rsid w:val="2852419D"/>
    <w:rsid w:val="290C4C94"/>
    <w:rsid w:val="29606D8E"/>
    <w:rsid w:val="2EA61897"/>
    <w:rsid w:val="306A22A0"/>
    <w:rsid w:val="322F72FD"/>
    <w:rsid w:val="36032F7B"/>
    <w:rsid w:val="3AD153F6"/>
    <w:rsid w:val="3BDC22A4"/>
    <w:rsid w:val="4E9133C2"/>
    <w:rsid w:val="516E3547"/>
    <w:rsid w:val="62E75619"/>
    <w:rsid w:val="6AC97079"/>
    <w:rsid w:val="6D374CDD"/>
    <w:rsid w:val="71ED0060"/>
    <w:rsid w:val="7E2B263C"/>
    <w:rsid w:val="7E3808B5"/>
    <w:rsid w:val="7E6D055E"/>
    <w:rsid w:val="7F82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5">
    <w:name w:val="page number"/>
    <w:uiPriority w:val="0"/>
  </w:style>
  <w:style w:type="paragraph" w:customStyle="1" w:styleId="6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styleId="7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2024-04-28T06:22:00Z</dcterms:created>
  <dc:creator>山里人</dc:creator>
  <cp:lastModifiedBy>山里人</cp:lastModifiedBy>
  <dcterms:modified xsi:type="dcterms:W3CDTF">2024-05-27T07:39:37Z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3DC3C3D7EFAC435EB25CBC6C64BA68AD_11</vt:lpwstr>
  </property>
</Properties>
</file>