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eastAsia" w:ascii="微软雅黑" w:hAnsi="微软雅黑" w:eastAsia="宋体" w:cs="微软雅黑"/>
          <w:i w:val="0"/>
          <w:iCs w:val="0"/>
          <w:caps w:val="0"/>
          <w:color w:val="auto"/>
          <w:spacing w:val="0"/>
          <w:sz w:val="44"/>
          <w:szCs w:val="44"/>
          <w:lang w:val="en-US" w:eastAsia="zh-CN"/>
        </w:rPr>
      </w:pPr>
      <w:r>
        <w:rPr>
          <w:rFonts w:hint="eastAsia"/>
          <w:i w:val="0"/>
          <w:iCs w:val="0"/>
          <w:caps w:val="0"/>
          <w:color w:val="auto"/>
          <w:spacing w:val="0"/>
          <w:sz w:val="44"/>
          <w:szCs w:val="44"/>
          <w:shd w:val="clear" w:fill="FFFFFF"/>
          <w:lang w:eastAsia="zh-CN"/>
        </w:rPr>
        <w:t>北塔区</w:t>
      </w:r>
      <w:r>
        <w:rPr>
          <w:rFonts w:hint="eastAsia"/>
          <w:i w:val="0"/>
          <w:iCs w:val="0"/>
          <w:caps w:val="0"/>
          <w:color w:val="auto"/>
          <w:spacing w:val="0"/>
          <w:sz w:val="44"/>
          <w:szCs w:val="44"/>
          <w:shd w:val="clear" w:fill="FFFFFF"/>
          <w:lang w:val="en-US" w:eastAsia="zh-CN"/>
        </w:rPr>
        <w:t>妇联</w:t>
      </w:r>
      <w:r>
        <w:rPr>
          <w:i w:val="0"/>
          <w:iCs w:val="0"/>
          <w:caps w:val="0"/>
          <w:color w:val="auto"/>
          <w:spacing w:val="0"/>
          <w:sz w:val="44"/>
          <w:szCs w:val="44"/>
          <w:shd w:val="clear" w:fill="FFFFFF"/>
        </w:rPr>
        <w:t>202</w:t>
      </w:r>
      <w:r>
        <w:rPr>
          <w:rFonts w:hint="eastAsia"/>
          <w:i w:val="0"/>
          <w:iCs w:val="0"/>
          <w:caps w:val="0"/>
          <w:color w:val="auto"/>
          <w:spacing w:val="0"/>
          <w:sz w:val="44"/>
          <w:szCs w:val="44"/>
          <w:shd w:val="clear" w:fill="FFFFFF"/>
          <w:lang w:val="en-US" w:eastAsia="zh-CN"/>
        </w:rPr>
        <w:t>2</w:t>
      </w:r>
      <w:r>
        <w:rPr>
          <w:i w:val="0"/>
          <w:iCs w:val="0"/>
          <w:caps w:val="0"/>
          <w:color w:val="auto"/>
          <w:spacing w:val="0"/>
          <w:sz w:val="44"/>
          <w:szCs w:val="44"/>
          <w:shd w:val="clear" w:fill="FFFFFF"/>
        </w:rPr>
        <w:t>年度部门整体支出绩效评价报</w:t>
      </w:r>
      <w:r>
        <w:rPr>
          <w:rFonts w:hint="eastAsia"/>
          <w:i w:val="0"/>
          <w:iCs w:val="0"/>
          <w:caps w:val="0"/>
          <w:color w:val="auto"/>
          <w:spacing w:val="0"/>
          <w:sz w:val="44"/>
          <w:szCs w:val="44"/>
          <w:shd w:val="clear" w:fill="FFFFFF"/>
          <w:lang w:val="en-US" w:eastAsia="zh-CN"/>
        </w:rPr>
        <w:t>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0" w:right="0" w:firstLine="420"/>
        <w:jc w:val="both"/>
        <w:rPr>
          <w:rFonts w:hint="eastAsia" w:ascii="宋体" w:hAnsi="宋体" w:eastAsia="宋体" w:cs="宋体"/>
          <w:color w:val="auto"/>
          <w:sz w:val="32"/>
          <w:szCs w:val="32"/>
        </w:rPr>
      </w:pPr>
      <w:r>
        <w:rPr>
          <w:rFonts w:hint="eastAsia" w:ascii="宋体" w:hAnsi="宋体" w:eastAsia="宋体" w:cs="宋体"/>
          <w:b/>
          <w:bCs/>
          <w:i w:val="0"/>
          <w:iCs w:val="0"/>
          <w:caps w:val="0"/>
          <w:color w:val="auto"/>
          <w:spacing w:val="0"/>
          <w:sz w:val="32"/>
          <w:szCs w:val="32"/>
          <w:shd w:val="clear" w:fill="FFFFFF"/>
        </w:rPr>
        <w:t>一、部门基本情况</w:t>
      </w:r>
    </w:p>
    <w:p>
      <w:pPr>
        <w:spacing w:line="480" w:lineRule="auto"/>
        <w:ind w:firstLine="643" w:firstLineChars="200"/>
        <w:jc w:val="left"/>
        <w:rPr>
          <w:rFonts w:hint="eastAsia" w:ascii="宋体" w:hAnsi="宋体" w:eastAsia="宋体" w:cs="宋体"/>
          <w:b/>
          <w:bCs/>
          <w:i w:val="0"/>
          <w:iCs w:val="0"/>
          <w:caps w:val="0"/>
          <w:color w:val="auto"/>
          <w:spacing w:val="0"/>
          <w:sz w:val="32"/>
          <w:szCs w:val="32"/>
          <w:shd w:val="clear" w:fill="FFFFFF"/>
          <w:lang w:val="en-US" w:eastAsia="zh-CN"/>
        </w:rPr>
      </w:pPr>
      <w:r>
        <w:rPr>
          <w:rFonts w:hint="eastAsia" w:ascii="宋体" w:hAnsi="宋体" w:eastAsia="宋体" w:cs="宋体"/>
          <w:b/>
          <w:bCs/>
          <w:i w:val="0"/>
          <w:iCs w:val="0"/>
          <w:caps w:val="0"/>
          <w:color w:val="auto"/>
          <w:spacing w:val="0"/>
          <w:sz w:val="32"/>
          <w:szCs w:val="32"/>
          <w:shd w:val="clear" w:fill="FFFFFF"/>
          <w:lang w:val="en-US" w:eastAsia="zh-CN"/>
        </w:rPr>
        <w:t>（一）机构设置及人员情况</w:t>
      </w:r>
    </w:p>
    <w:p>
      <w:pPr>
        <w:spacing w:line="480" w:lineRule="auto"/>
        <w:ind w:firstLine="640" w:firstLineChars="200"/>
        <w:jc w:val="left"/>
        <w:rPr>
          <w:rFonts w:hint="eastAsia" w:ascii="宋体" w:hAnsi="宋体" w:eastAsia="宋体" w:cs="宋体"/>
          <w:i w:val="0"/>
          <w:iCs w:val="0"/>
          <w:caps w:val="0"/>
          <w:color w:val="000000"/>
          <w:spacing w:val="0"/>
          <w:sz w:val="32"/>
          <w:szCs w:val="32"/>
          <w:lang w:val="en-US" w:eastAsia="zh-CN"/>
        </w:rPr>
      </w:pPr>
      <w:r>
        <w:rPr>
          <w:rFonts w:hint="eastAsia" w:ascii="宋体" w:hAnsi="宋体" w:eastAsia="宋体" w:cs="宋体"/>
          <w:i w:val="0"/>
          <w:iCs w:val="0"/>
          <w:caps w:val="0"/>
          <w:color w:val="000000"/>
          <w:spacing w:val="0"/>
          <w:sz w:val="32"/>
          <w:szCs w:val="32"/>
        </w:rPr>
        <w:t>机构</w:t>
      </w:r>
      <w:r>
        <w:rPr>
          <w:rFonts w:hint="eastAsia" w:ascii="宋体" w:hAnsi="宋体" w:eastAsia="宋体" w:cs="宋体"/>
          <w:i w:val="0"/>
          <w:iCs w:val="0"/>
          <w:caps w:val="0"/>
          <w:color w:val="000000"/>
          <w:spacing w:val="0"/>
          <w:sz w:val="32"/>
          <w:szCs w:val="32"/>
          <w:lang w:eastAsia="zh-CN"/>
        </w:rPr>
        <w:t>设置情况</w:t>
      </w:r>
      <w:r>
        <w:rPr>
          <w:rFonts w:hint="eastAsia" w:ascii="宋体" w:hAnsi="宋体" w:eastAsia="宋体" w:cs="宋体"/>
          <w:i w:val="0"/>
          <w:iCs w:val="0"/>
          <w:caps w:val="0"/>
          <w:color w:val="000000"/>
          <w:spacing w:val="0"/>
          <w:sz w:val="32"/>
          <w:szCs w:val="32"/>
        </w:rPr>
        <w:t>：</w:t>
      </w:r>
      <w:r>
        <w:rPr>
          <w:rFonts w:hint="eastAsia" w:ascii="宋体" w:hAnsi="宋体" w:eastAsia="宋体" w:cs="宋体"/>
          <w:i w:val="0"/>
          <w:iCs w:val="0"/>
          <w:caps w:val="0"/>
          <w:color w:val="000000"/>
          <w:spacing w:val="0"/>
          <w:sz w:val="32"/>
          <w:szCs w:val="32"/>
          <w:lang w:val="en-US" w:eastAsia="zh-CN"/>
        </w:rPr>
        <w:t xml:space="preserve">无内设机构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val="en-US" w:eastAsia="zh-CN"/>
        </w:rPr>
      </w:pPr>
      <w:r>
        <w:rPr>
          <w:rFonts w:hint="eastAsia" w:ascii="宋体" w:hAnsi="宋体" w:eastAsia="宋体" w:cs="宋体"/>
          <w:i w:val="0"/>
          <w:iCs w:val="0"/>
          <w:caps w:val="0"/>
          <w:color w:val="000000"/>
          <w:spacing w:val="0"/>
          <w:sz w:val="32"/>
          <w:szCs w:val="32"/>
          <w:lang w:eastAsia="zh-CN"/>
        </w:rPr>
        <w:t>人员情况：</w:t>
      </w:r>
      <w:r>
        <w:rPr>
          <w:rFonts w:hint="eastAsia" w:ascii="宋体" w:hAnsi="宋体" w:eastAsia="宋体" w:cs="宋体"/>
          <w:i w:val="0"/>
          <w:iCs w:val="0"/>
          <w:caps w:val="0"/>
          <w:color w:val="000000"/>
          <w:spacing w:val="0"/>
          <w:sz w:val="32"/>
          <w:szCs w:val="32"/>
          <w:lang w:val="en-US" w:eastAsia="zh-CN"/>
        </w:rPr>
        <w:t>本部门共有编制人数3个，实有2人</w:t>
      </w:r>
    </w:p>
    <w:p>
      <w:pPr>
        <w:numPr>
          <w:ilvl w:val="0"/>
          <w:numId w:val="1"/>
        </w:numPr>
        <w:spacing w:line="480" w:lineRule="auto"/>
        <w:ind w:firstLine="643" w:firstLineChars="200"/>
        <w:jc w:val="left"/>
        <w:rPr>
          <w:color w:val="auto"/>
        </w:rPr>
      </w:pPr>
      <w:r>
        <w:rPr>
          <w:rFonts w:hint="eastAsia" w:ascii="宋体" w:hAnsi="宋体" w:eastAsia="宋体" w:cs="宋体"/>
          <w:b/>
          <w:bCs/>
          <w:i w:val="0"/>
          <w:iCs w:val="0"/>
          <w:caps w:val="0"/>
          <w:color w:val="auto"/>
          <w:spacing w:val="0"/>
          <w:sz w:val="32"/>
          <w:szCs w:val="32"/>
          <w:shd w:val="clear" w:fill="FFFFFF"/>
          <w:lang w:val="en-US" w:eastAsia="zh-CN"/>
        </w:rPr>
        <w:t>主要工作职责</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1、根据党的中心任务，指导全区各级妇联依据《中华全国妇女联合会章程》和妇女代表大会的决议，开展妇女儿童工作，联系团体会员，并进行业务工作指导。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2、组织、协调、指导全区妇女开展“双学双比”、“巾帼建功”、“五好文明家庭”、“最美家庭”、“平安家庭”、“示范妇女儿童之家”“婚调委”等创建活动。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3、教育、引导广大妇女增强自尊、自信、自立、自强的精神，全面提高素质，促进妇女人才成长。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4、加强与社会各界的联系，协调和维护妇女儿童合法权益，推动社会各界为妇女儿童办好事、做实事。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5、调查研究全区妇女儿童的情况、问题，及时向区委、区政府反映情况，提出意见和建议。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6、致力提高妇联干部的整体素质，加强妇联干部队伍建设、妇联组织建设和妇联阵地建设，增强妇联组织的凝聚力和战斗力。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7、团结和带领全区各族各界妇女在社会主义物质文明建设和社会主义精神文明建设中发挥积极作用。 </w:t>
      </w:r>
    </w:p>
    <w:p>
      <w:pPr>
        <w:keepNext w:val="0"/>
        <w:keepLines w:val="0"/>
        <w:widowControl w:val="0"/>
        <w:suppressLineNumbers w:val="0"/>
        <w:spacing w:before="0" w:beforeAutospacing="1" w:after="0" w:afterAutospacing="1" w:line="480" w:lineRule="exact"/>
        <w:ind w:left="0" w:right="0" w:firstLine="640" w:firstLineChars="200"/>
        <w:jc w:val="left"/>
        <w:rPr>
          <w:rFonts w:hint="eastAsia" w:ascii="宋体" w:hAnsi="宋体" w:eastAsia="宋体" w:cs="宋体"/>
          <w:i w:val="0"/>
          <w:iCs w:val="0"/>
          <w:caps w:val="0"/>
          <w:color w:val="000000"/>
          <w:spacing w:val="0"/>
          <w:sz w:val="32"/>
          <w:szCs w:val="32"/>
          <w:lang w:eastAsia="zh-CN"/>
        </w:rPr>
      </w:pPr>
      <w:r>
        <w:rPr>
          <w:rFonts w:hint="eastAsia" w:ascii="宋体" w:hAnsi="宋体" w:eastAsia="宋体" w:cs="宋体"/>
          <w:i w:val="0"/>
          <w:iCs w:val="0"/>
          <w:caps w:val="0"/>
          <w:color w:val="000000"/>
          <w:spacing w:val="0"/>
          <w:sz w:val="32"/>
          <w:szCs w:val="32"/>
          <w:lang w:val="en-US" w:eastAsia="zh-CN"/>
        </w:rPr>
        <w:t xml:space="preserve">8、完成区委、区政府和上级妇联部署或交办的其它工作任务。 </w:t>
      </w:r>
    </w:p>
    <w:p>
      <w:pPr>
        <w:numPr>
          <w:ilvl w:val="0"/>
          <w:numId w:val="0"/>
        </w:numPr>
        <w:spacing w:line="480" w:lineRule="auto"/>
        <w:jc w:val="left"/>
        <w:rPr>
          <w:rFonts w:hint="eastAsia" w:ascii="宋体" w:hAnsi="宋体" w:eastAsia="宋体" w:cs="宋体"/>
          <w:b/>
          <w:bCs/>
          <w:i w:val="0"/>
          <w:iCs w:val="0"/>
          <w:caps w:val="0"/>
          <w:color w:val="auto"/>
          <w:spacing w:val="0"/>
          <w:sz w:val="32"/>
          <w:szCs w:val="32"/>
          <w:shd w:val="clear" w:fill="FFFFFF"/>
        </w:rPr>
      </w:pPr>
      <w:r>
        <w:rPr>
          <w:rFonts w:hint="eastAsia" w:ascii="宋体" w:hAnsi="宋体" w:eastAsia="宋体" w:cs="宋体"/>
          <w:b/>
          <w:bCs/>
          <w:i w:val="0"/>
          <w:iCs w:val="0"/>
          <w:caps w:val="0"/>
          <w:color w:val="auto"/>
          <w:spacing w:val="0"/>
          <w:sz w:val="32"/>
          <w:szCs w:val="32"/>
          <w:shd w:val="clear" w:fill="FFFFFF"/>
        </w:rPr>
        <w:t>二、部门整体支出管理及使用情况</w:t>
      </w:r>
    </w:p>
    <w:p>
      <w:pPr>
        <w:spacing w:line="480" w:lineRule="auto"/>
        <w:ind w:firstLine="643" w:firstLineChars="200"/>
        <w:jc w:val="left"/>
        <w:rPr>
          <w:rFonts w:hint="eastAsia" w:ascii="宋体" w:hAnsi="宋体" w:eastAsia="宋体" w:cs="宋体"/>
          <w:b/>
          <w:bCs/>
          <w:i w:val="0"/>
          <w:iCs w:val="0"/>
          <w:caps w:val="0"/>
          <w:color w:val="auto"/>
          <w:spacing w:val="0"/>
          <w:sz w:val="32"/>
          <w:szCs w:val="32"/>
          <w:shd w:val="clear" w:fill="FFFFFF"/>
          <w:lang w:val="en-US" w:eastAsia="zh-CN"/>
        </w:rPr>
      </w:pPr>
      <w:r>
        <w:rPr>
          <w:rFonts w:hint="eastAsia" w:ascii="宋体" w:hAnsi="宋体" w:eastAsia="宋体" w:cs="宋体"/>
          <w:b/>
          <w:bCs/>
          <w:i w:val="0"/>
          <w:iCs w:val="0"/>
          <w:caps w:val="0"/>
          <w:color w:val="auto"/>
          <w:spacing w:val="0"/>
          <w:sz w:val="32"/>
          <w:szCs w:val="32"/>
          <w:shd w:val="clear" w:fill="FFFFFF"/>
          <w:lang w:val="en-US" w:eastAsia="zh-CN"/>
        </w:rPr>
        <w:t>（一）预算执行情况</w:t>
      </w:r>
    </w:p>
    <w:p>
      <w:pPr>
        <w:spacing w:line="480" w:lineRule="auto"/>
        <w:ind w:firstLine="640" w:firstLineChars="200"/>
        <w:jc w:val="left"/>
        <w:rPr>
          <w:rFonts w:hint="default" w:ascii="宋体" w:hAnsi="宋体" w:eastAsia="宋体" w:cs="宋体"/>
          <w:b/>
          <w:bCs/>
          <w:i w:val="0"/>
          <w:iCs w:val="0"/>
          <w:caps w:val="0"/>
          <w:color w:val="auto"/>
          <w:spacing w:val="0"/>
          <w:sz w:val="32"/>
          <w:szCs w:val="32"/>
          <w:shd w:val="clear" w:fill="FFFFFF"/>
          <w:lang w:val="en-US" w:eastAsia="zh-CN"/>
        </w:rPr>
      </w:pPr>
      <w:r>
        <w:rPr>
          <w:rFonts w:hint="eastAsia" w:ascii="宋体" w:hAnsi="宋体" w:eastAsia="宋体" w:cs="宋体"/>
          <w:kern w:val="2"/>
          <w:sz w:val="32"/>
          <w:szCs w:val="32"/>
          <w:lang w:val="en-US" w:eastAsia="zh-CN" w:bidi="ar"/>
        </w:rPr>
        <w:t>2022年本部门全年预算数48.12万元，本年实际支出</w:t>
      </w:r>
      <w:r>
        <w:rPr>
          <w:rFonts w:hint="eastAsia" w:ascii="宋体" w:hAnsi="宋体" w:eastAsia="宋体" w:cs="宋体"/>
          <w:i w:val="0"/>
          <w:iCs w:val="0"/>
          <w:caps w:val="0"/>
          <w:color w:val="000000"/>
          <w:spacing w:val="0"/>
          <w:sz w:val="32"/>
          <w:szCs w:val="32"/>
          <w:lang w:val="en-US" w:eastAsia="zh-CN"/>
        </w:rPr>
        <w:t>81.05</w:t>
      </w:r>
      <w:r>
        <w:rPr>
          <w:rFonts w:hint="eastAsia" w:ascii="宋体" w:hAnsi="宋体" w:eastAsia="宋体" w:cs="宋体"/>
          <w:i w:val="0"/>
          <w:iCs w:val="0"/>
          <w:caps w:val="0"/>
          <w:color w:val="000000"/>
          <w:spacing w:val="0"/>
          <w:sz w:val="32"/>
          <w:szCs w:val="32"/>
        </w:rPr>
        <w:t>万元</w:t>
      </w:r>
      <w:r>
        <w:rPr>
          <w:rFonts w:hint="eastAsia" w:ascii="宋体" w:hAnsi="宋体" w:eastAsia="宋体" w:cs="宋体"/>
          <w:i w:val="0"/>
          <w:iCs w:val="0"/>
          <w:caps w:val="0"/>
          <w:color w:val="000000"/>
          <w:spacing w:val="0"/>
          <w:sz w:val="32"/>
          <w:szCs w:val="32"/>
          <w:lang w:eastAsia="zh-CN"/>
        </w:rPr>
        <w:t>，完成全年预算的</w:t>
      </w:r>
      <w:r>
        <w:rPr>
          <w:rFonts w:hint="eastAsia" w:ascii="宋体" w:hAnsi="宋体" w:eastAsia="宋体" w:cs="宋体"/>
          <w:i w:val="0"/>
          <w:iCs w:val="0"/>
          <w:caps w:val="0"/>
          <w:color w:val="000000"/>
          <w:spacing w:val="0"/>
          <w:sz w:val="32"/>
          <w:szCs w:val="32"/>
          <w:lang w:val="en-US" w:eastAsia="zh-CN"/>
        </w:rPr>
        <w:t>168.43%</w:t>
      </w:r>
      <w:r>
        <w:rPr>
          <w:rFonts w:hint="eastAsia" w:ascii="宋体" w:hAnsi="宋体" w:eastAsia="宋体" w:cs="宋体"/>
          <w:i w:val="0"/>
          <w:iCs w:val="0"/>
          <w:caps w:val="0"/>
          <w:color w:val="000000"/>
          <w:spacing w:val="0"/>
          <w:sz w:val="32"/>
          <w:szCs w:val="32"/>
        </w:rPr>
        <w:t>。与上一年度相比，</w:t>
      </w:r>
      <w:r>
        <w:rPr>
          <w:rFonts w:hint="eastAsia" w:ascii="宋体" w:hAnsi="宋体" w:eastAsia="宋体" w:cs="宋体"/>
          <w:i w:val="0"/>
          <w:iCs w:val="0"/>
          <w:caps w:val="0"/>
          <w:color w:val="000000"/>
          <w:spacing w:val="0"/>
          <w:sz w:val="32"/>
          <w:szCs w:val="32"/>
          <w:lang w:eastAsia="zh-CN"/>
        </w:rPr>
        <w:t>实际支出</w:t>
      </w:r>
      <w:r>
        <w:rPr>
          <w:rFonts w:hint="eastAsia" w:ascii="宋体" w:hAnsi="宋体" w:eastAsia="宋体" w:cs="宋体"/>
          <w:i w:val="0"/>
          <w:iCs w:val="0"/>
          <w:caps w:val="0"/>
          <w:color w:val="000000"/>
          <w:spacing w:val="0"/>
          <w:sz w:val="32"/>
          <w:szCs w:val="32"/>
          <w:lang w:val="en-US" w:eastAsia="zh-CN"/>
        </w:rPr>
        <w:t>增加15.2</w:t>
      </w:r>
      <w:r>
        <w:rPr>
          <w:rFonts w:hint="eastAsia" w:ascii="宋体" w:hAnsi="宋体" w:eastAsia="宋体" w:cs="宋体"/>
          <w:i w:val="0"/>
          <w:iCs w:val="0"/>
          <w:caps w:val="0"/>
          <w:color w:val="000000"/>
          <w:spacing w:val="0"/>
          <w:sz w:val="32"/>
          <w:szCs w:val="32"/>
        </w:rPr>
        <w:t>万元，</w:t>
      </w:r>
      <w:r>
        <w:rPr>
          <w:rFonts w:hint="eastAsia" w:ascii="宋体" w:hAnsi="宋体" w:eastAsia="宋体" w:cs="宋体"/>
          <w:i w:val="0"/>
          <w:iCs w:val="0"/>
          <w:caps w:val="0"/>
          <w:color w:val="000000"/>
          <w:spacing w:val="0"/>
          <w:sz w:val="32"/>
          <w:szCs w:val="32"/>
          <w:lang w:val="en-US" w:eastAsia="zh-CN"/>
        </w:rPr>
        <w:t>上升23.08</w:t>
      </w:r>
      <w:r>
        <w:rPr>
          <w:rFonts w:hint="eastAsia" w:ascii="宋体" w:hAnsi="宋体" w:eastAsia="宋体" w:cs="宋体"/>
          <w:i w:val="0"/>
          <w:iCs w:val="0"/>
          <w:caps w:val="0"/>
          <w:color w:val="000000"/>
          <w:spacing w:val="0"/>
          <w:sz w:val="32"/>
          <w:szCs w:val="32"/>
        </w:rPr>
        <w:t>%。主要原因是</w:t>
      </w:r>
      <w:r>
        <w:rPr>
          <w:rFonts w:hint="eastAsia" w:ascii="宋体" w:hAnsi="宋体" w:eastAsia="宋体" w:cs="宋体"/>
          <w:i w:val="0"/>
          <w:iCs w:val="0"/>
          <w:caps w:val="0"/>
          <w:color w:val="000000"/>
          <w:spacing w:val="0"/>
          <w:sz w:val="32"/>
          <w:szCs w:val="32"/>
          <w:lang w:val="en-US" w:eastAsia="zh-CN"/>
        </w:rPr>
        <w:t>人员经费及公用经费的增加。</w:t>
      </w:r>
    </w:p>
    <w:p>
      <w:pPr>
        <w:spacing w:line="480" w:lineRule="auto"/>
        <w:ind w:firstLine="640" w:firstLineChars="200"/>
        <w:jc w:val="left"/>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sz w:val="32"/>
          <w:szCs w:val="32"/>
        </w:rPr>
        <w:t>2022年度收入合计</w:t>
      </w:r>
      <w:r>
        <w:rPr>
          <w:rFonts w:hint="eastAsia" w:ascii="宋体" w:hAnsi="宋体" w:eastAsia="宋体" w:cs="宋体"/>
          <w:i w:val="0"/>
          <w:iCs w:val="0"/>
          <w:caps w:val="0"/>
          <w:color w:val="000000"/>
          <w:spacing w:val="0"/>
          <w:sz w:val="32"/>
          <w:szCs w:val="32"/>
          <w:lang w:val="en-US" w:eastAsia="zh-CN"/>
        </w:rPr>
        <w:t>81.05</w:t>
      </w:r>
      <w:r>
        <w:rPr>
          <w:rFonts w:hint="eastAsia" w:ascii="宋体" w:hAnsi="宋体" w:eastAsia="宋体" w:cs="宋体"/>
          <w:i w:val="0"/>
          <w:iCs w:val="0"/>
          <w:caps w:val="0"/>
          <w:color w:val="000000"/>
          <w:spacing w:val="0"/>
          <w:sz w:val="32"/>
          <w:szCs w:val="32"/>
        </w:rPr>
        <w:t>万元，其中：财政拨款收入</w:t>
      </w:r>
      <w:r>
        <w:rPr>
          <w:rFonts w:hint="eastAsia" w:ascii="宋体" w:hAnsi="宋体" w:eastAsia="宋体" w:cs="宋体"/>
          <w:i w:val="0"/>
          <w:iCs w:val="0"/>
          <w:caps w:val="0"/>
          <w:color w:val="000000"/>
          <w:spacing w:val="0"/>
          <w:sz w:val="32"/>
          <w:szCs w:val="32"/>
          <w:lang w:val="en-US" w:eastAsia="zh-CN"/>
        </w:rPr>
        <w:t>71.69</w:t>
      </w:r>
      <w:r>
        <w:rPr>
          <w:rFonts w:hint="eastAsia" w:ascii="宋体" w:hAnsi="宋体" w:eastAsia="宋体" w:cs="宋体"/>
          <w:i w:val="0"/>
          <w:iCs w:val="0"/>
          <w:caps w:val="0"/>
          <w:color w:val="000000"/>
          <w:spacing w:val="0"/>
          <w:sz w:val="32"/>
          <w:szCs w:val="32"/>
        </w:rPr>
        <w:t>万元，占</w:t>
      </w:r>
      <w:r>
        <w:rPr>
          <w:rFonts w:hint="eastAsia" w:ascii="宋体" w:hAnsi="宋体" w:eastAsia="宋体" w:cs="宋体"/>
          <w:i w:val="0"/>
          <w:iCs w:val="0"/>
          <w:caps w:val="0"/>
          <w:color w:val="000000"/>
          <w:spacing w:val="0"/>
          <w:sz w:val="32"/>
          <w:szCs w:val="32"/>
          <w:lang w:val="en-US" w:eastAsia="zh-CN"/>
        </w:rPr>
        <w:t>88.45</w:t>
      </w:r>
      <w:r>
        <w:rPr>
          <w:rFonts w:hint="eastAsia" w:ascii="宋体" w:hAnsi="宋体" w:eastAsia="宋体" w:cs="宋体"/>
          <w:i w:val="0"/>
          <w:iCs w:val="0"/>
          <w:caps w:val="0"/>
          <w:color w:val="000000"/>
          <w:spacing w:val="0"/>
          <w:sz w:val="32"/>
          <w:szCs w:val="32"/>
        </w:rPr>
        <w:t>%；上级补助收入0万元，占0%；事业收入0万元，占0%；经营收入0万元，占0%；附属单位上缴收入0万元，占0%；其他收入</w:t>
      </w:r>
      <w:r>
        <w:rPr>
          <w:rFonts w:hint="eastAsia" w:ascii="宋体" w:hAnsi="宋体" w:eastAsia="宋体" w:cs="宋体"/>
          <w:i w:val="0"/>
          <w:iCs w:val="0"/>
          <w:caps w:val="0"/>
          <w:color w:val="000000"/>
          <w:spacing w:val="0"/>
          <w:sz w:val="32"/>
          <w:szCs w:val="32"/>
          <w:lang w:val="en-US" w:eastAsia="zh-CN"/>
        </w:rPr>
        <w:t>9.36</w:t>
      </w:r>
      <w:r>
        <w:rPr>
          <w:rFonts w:hint="eastAsia" w:ascii="宋体" w:hAnsi="宋体" w:eastAsia="宋体" w:cs="宋体"/>
          <w:i w:val="0"/>
          <w:iCs w:val="0"/>
          <w:caps w:val="0"/>
          <w:color w:val="000000"/>
          <w:spacing w:val="0"/>
          <w:sz w:val="32"/>
          <w:szCs w:val="32"/>
        </w:rPr>
        <w:t>万元，占</w:t>
      </w:r>
      <w:r>
        <w:rPr>
          <w:rFonts w:hint="eastAsia" w:ascii="宋体" w:hAnsi="宋体" w:eastAsia="宋体" w:cs="宋体"/>
          <w:i w:val="0"/>
          <w:iCs w:val="0"/>
          <w:caps w:val="0"/>
          <w:color w:val="000000"/>
          <w:spacing w:val="0"/>
          <w:sz w:val="32"/>
          <w:szCs w:val="32"/>
          <w:lang w:val="en-US" w:eastAsia="zh-CN"/>
        </w:rPr>
        <w:t>11.55</w:t>
      </w:r>
      <w:r>
        <w:rPr>
          <w:rFonts w:hint="eastAsia" w:ascii="宋体" w:hAnsi="宋体" w:eastAsia="宋体" w:cs="宋体"/>
          <w:i w:val="0"/>
          <w:iCs w:val="0"/>
          <w:caps w:val="0"/>
          <w:color w:val="000000"/>
          <w:spacing w:val="0"/>
          <w:sz w:val="32"/>
          <w:szCs w:val="32"/>
        </w:rPr>
        <w:t>%</w:t>
      </w:r>
    </w:p>
    <w:p>
      <w:pPr>
        <w:spacing w:line="480" w:lineRule="auto"/>
        <w:ind w:firstLine="640" w:firstLineChars="200"/>
        <w:jc w:val="left"/>
        <w:rPr>
          <w:rFonts w:hint="eastAsia" w:ascii="宋体" w:hAnsi="宋体" w:eastAsia="宋体" w:cs="宋体"/>
          <w:i w:val="0"/>
          <w:iCs w:val="0"/>
          <w:caps w:val="0"/>
          <w:color w:val="000000"/>
          <w:spacing w:val="0"/>
          <w:sz w:val="32"/>
          <w:szCs w:val="32"/>
          <w:lang w:val="en-US" w:eastAsia="zh-CN"/>
        </w:rPr>
      </w:pPr>
      <w:r>
        <w:rPr>
          <w:rFonts w:hint="eastAsia" w:ascii="宋体" w:hAnsi="宋体" w:eastAsia="宋体" w:cs="宋体"/>
          <w:i w:val="0"/>
          <w:iCs w:val="0"/>
          <w:caps w:val="0"/>
          <w:color w:val="000000"/>
          <w:spacing w:val="0"/>
          <w:sz w:val="32"/>
          <w:szCs w:val="32"/>
        </w:rPr>
        <w:t>2022年度支出合计</w:t>
      </w:r>
      <w:r>
        <w:rPr>
          <w:rFonts w:hint="eastAsia" w:ascii="宋体" w:hAnsi="宋体" w:eastAsia="宋体" w:cs="宋体"/>
          <w:i w:val="0"/>
          <w:iCs w:val="0"/>
          <w:caps w:val="0"/>
          <w:color w:val="000000"/>
          <w:spacing w:val="0"/>
          <w:sz w:val="32"/>
          <w:szCs w:val="32"/>
          <w:lang w:val="en-US" w:eastAsia="zh-CN"/>
        </w:rPr>
        <w:t>81.05</w:t>
      </w:r>
      <w:r>
        <w:rPr>
          <w:rFonts w:hint="eastAsia" w:ascii="宋体" w:hAnsi="宋体" w:eastAsia="宋体" w:cs="宋体"/>
          <w:i w:val="0"/>
          <w:iCs w:val="0"/>
          <w:caps w:val="0"/>
          <w:color w:val="000000"/>
          <w:spacing w:val="0"/>
          <w:sz w:val="32"/>
          <w:szCs w:val="32"/>
        </w:rPr>
        <w:t>万元，其中：基本支出</w:t>
      </w:r>
      <w:r>
        <w:rPr>
          <w:rFonts w:hint="eastAsia" w:ascii="宋体" w:hAnsi="宋体" w:eastAsia="宋体" w:cs="宋体"/>
          <w:i w:val="0"/>
          <w:iCs w:val="0"/>
          <w:caps w:val="0"/>
          <w:color w:val="000000"/>
          <w:spacing w:val="0"/>
          <w:sz w:val="32"/>
          <w:szCs w:val="32"/>
          <w:lang w:val="en-US" w:eastAsia="zh-CN"/>
        </w:rPr>
        <w:t>81.05</w:t>
      </w:r>
      <w:r>
        <w:rPr>
          <w:rFonts w:hint="eastAsia" w:ascii="宋体" w:hAnsi="宋体" w:eastAsia="宋体" w:cs="宋体"/>
          <w:i w:val="0"/>
          <w:iCs w:val="0"/>
          <w:caps w:val="0"/>
          <w:color w:val="000000"/>
          <w:spacing w:val="0"/>
          <w:sz w:val="32"/>
          <w:szCs w:val="32"/>
        </w:rPr>
        <w:t>万元，占100%；项目支出0万元，占0%；上缴上级支出0万元，占0%；经营支出0万元，占0%；对附属单位补助支出0万元，占0%。</w:t>
      </w:r>
    </w:p>
    <w:p>
      <w:pPr>
        <w:spacing w:line="480" w:lineRule="auto"/>
        <w:ind w:firstLine="643" w:firstLineChars="200"/>
        <w:jc w:val="left"/>
        <w:rPr>
          <w:rFonts w:hint="eastAsia" w:ascii="宋体" w:hAnsi="宋体" w:eastAsia="宋体" w:cs="宋体"/>
          <w:b/>
          <w:bCs/>
          <w:i w:val="0"/>
          <w:iCs w:val="0"/>
          <w:caps w:val="0"/>
          <w:color w:val="auto"/>
          <w:spacing w:val="0"/>
          <w:sz w:val="32"/>
          <w:szCs w:val="32"/>
          <w:highlight w:val="none"/>
          <w:shd w:val="clear" w:fill="FFFFFF"/>
          <w:lang w:val="en-US" w:eastAsia="zh-CN"/>
        </w:rPr>
      </w:pPr>
      <w:r>
        <w:rPr>
          <w:rFonts w:hint="eastAsia" w:ascii="宋体" w:hAnsi="宋体" w:eastAsia="宋体" w:cs="宋体"/>
          <w:b/>
          <w:bCs/>
          <w:i w:val="0"/>
          <w:iCs w:val="0"/>
          <w:caps w:val="0"/>
          <w:color w:val="auto"/>
          <w:spacing w:val="0"/>
          <w:sz w:val="32"/>
          <w:szCs w:val="32"/>
          <w:highlight w:val="none"/>
          <w:shd w:val="clear" w:fill="FFFFFF"/>
          <w:lang w:val="en-US" w:eastAsia="zh-CN"/>
        </w:rPr>
        <w:t>（二）基本支出情况</w:t>
      </w:r>
    </w:p>
    <w:p>
      <w:pPr>
        <w:spacing w:line="480" w:lineRule="auto"/>
        <w:ind w:firstLine="640" w:firstLineChars="200"/>
        <w:jc w:val="left"/>
        <w:rPr>
          <w:rFonts w:hint="eastAsia" w:ascii="宋体" w:hAnsi="宋体" w:eastAsia="宋体" w:cs="宋体"/>
          <w:i w:val="0"/>
          <w:iCs w:val="0"/>
          <w:caps w:val="0"/>
          <w:color w:val="auto"/>
          <w:spacing w:val="0"/>
          <w:kern w:val="2"/>
          <w:sz w:val="32"/>
          <w:szCs w:val="32"/>
          <w:highlight w:val="none"/>
          <w:shd w:val="clear" w:fill="FFFFFF"/>
          <w:lang w:val="en-US" w:eastAsia="zh-CN" w:bidi="ar-SA"/>
        </w:rPr>
      </w:pPr>
      <w:r>
        <w:rPr>
          <w:rFonts w:hint="eastAsia" w:ascii="宋体" w:hAnsi="宋体" w:eastAsia="宋体" w:cs="宋体"/>
          <w:i w:val="0"/>
          <w:iCs w:val="0"/>
          <w:caps w:val="0"/>
          <w:color w:val="auto"/>
          <w:spacing w:val="0"/>
          <w:kern w:val="2"/>
          <w:sz w:val="32"/>
          <w:szCs w:val="32"/>
          <w:highlight w:val="none"/>
          <w:shd w:val="clear" w:fill="FFFFFF"/>
          <w:lang w:val="en-US" w:eastAsia="zh-CN" w:bidi="ar-SA"/>
        </w:rPr>
        <w:t>2022年度北塔区妇联基本支出全年预算36.52万元，本年实际支出为81.05万元，主要为人员经费支出和公用经费支出，其中人员经费支出30.27万元、公用经费支出50.78万元。</w:t>
      </w:r>
    </w:p>
    <w:p>
      <w:pPr>
        <w:numPr>
          <w:ilvl w:val="0"/>
          <w:numId w:val="1"/>
        </w:numPr>
        <w:spacing w:line="480" w:lineRule="auto"/>
        <w:ind w:left="0" w:leftChars="0" w:firstLine="643" w:firstLineChars="200"/>
        <w:jc w:val="left"/>
        <w:rPr>
          <w:rFonts w:hint="eastAsia" w:ascii="宋体" w:hAnsi="宋体" w:eastAsia="宋体" w:cs="宋体"/>
          <w:b/>
          <w:bCs/>
          <w:i w:val="0"/>
          <w:iCs w:val="0"/>
          <w:caps w:val="0"/>
          <w:color w:val="auto"/>
          <w:spacing w:val="0"/>
          <w:sz w:val="32"/>
          <w:szCs w:val="32"/>
          <w:highlight w:val="none"/>
          <w:shd w:val="clear" w:fill="FFFFFF"/>
          <w:lang w:val="en-US" w:eastAsia="zh-CN"/>
        </w:rPr>
      </w:pPr>
      <w:r>
        <w:rPr>
          <w:rFonts w:hint="eastAsia" w:ascii="宋体" w:hAnsi="宋体" w:eastAsia="宋体" w:cs="宋体"/>
          <w:b/>
          <w:bCs/>
          <w:i w:val="0"/>
          <w:iCs w:val="0"/>
          <w:caps w:val="0"/>
          <w:color w:val="auto"/>
          <w:spacing w:val="0"/>
          <w:sz w:val="32"/>
          <w:szCs w:val="32"/>
          <w:highlight w:val="none"/>
          <w:shd w:val="clear" w:fill="FFFFFF"/>
          <w:lang w:val="en-US" w:eastAsia="zh-CN"/>
        </w:rPr>
        <w:t>项目支出情况</w:t>
      </w:r>
    </w:p>
    <w:p>
      <w:pPr>
        <w:numPr>
          <w:ilvl w:val="0"/>
          <w:numId w:val="0"/>
        </w:numPr>
        <w:spacing w:line="480" w:lineRule="auto"/>
        <w:ind w:firstLine="640" w:firstLineChars="200"/>
        <w:jc w:val="left"/>
        <w:rPr>
          <w:rFonts w:hint="eastAsia" w:ascii="宋体" w:hAnsi="宋体" w:eastAsia="宋体" w:cs="宋体"/>
          <w:i w:val="0"/>
          <w:iCs w:val="0"/>
          <w:caps w:val="0"/>
          <w:color w:val="auto"/>
          <w:spacing w:val="0"/>
          <w:kern w:val="2"/>
          <w:sz w:val="32"/>
          <w:szCs w:val="32"/>
          <w:highlight w:val="none"/>
          <w:shd w:val="clear" w:fill="FFFFFF"/>
          <w:lang w:val="en-US" w:eastAsia="zh-CN" w:bidi="ar-SA"/>
        </w:rPr>
      </w:pPr>
      <w:r>
        <w:rPr>
          <w:rFonts w:hint="eastAsia" w:ascii="宋体" w:hAnsi="宋体" w:eastAsia="宋体" w:cs="宋体"/>
          <w:i w:val="0"/>
          <w:iCs w:val="0"/>
          <w:caps w:val="0"/>
          <w:color w:val="auto"/>
          <w:spacing w:val="0"/>
          <w:kern w:val="2"/>
          <w:sz w:val="32"/>
          <w:szCs w:val="32"/>
          <w:highlight w:val="none"/>
          <w:shd w:val="clear" w:fill="FFFFFF"/>
          <w:lang w:val="en-US" w:eastAsia="zh-CN" w:bidi="ar-SA"/>
        </w:rPr>
        <w:t>本年项目支出年初预算安排为11.6万元，本年实际支出为0万元，本部门2022年度无项目支出。</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right="0" w:rightChars="0" w:firstLine="643" w:firstLineChars="200"/>
        <w:jc w:val="both"/>
        <w:rPr>
          <w:rFonts w:hint="eastAsia" w:ascii="宋体" w:hAnsi="宋体" w:eastAsia="宋体" w:cs="宋体"/>
          <w:b/>
          <w:bCs/>
          <w:i w:val="0"/>
          <w:iCs w:val="0"/>
          <w:caps w:val="0"/>
          <w:color w:val="auto"/>
          <w:spacing w:val="0"/>
          <w:sz w:val="32"/>
          <w:szCs w:val="32"/>
          <w:highlight w:val="none"/>
          <w:shd w:val="clear" w:fill="FFFFFF"/>
        </w:rPr>
      </w:pPr>
      <w:r>
        <w:rPr>
          <w:rFonts w:hint="eastAsia" w:ascii="宋体" w:hAnsi="宋体" w:eastAsia="宋体" w:cs="宋体"/>
          <w:b/>
          <w:bCs/>
          <w:i w:val="0"/>
          <w:iCs w:val="0"/>
          <w:caps w:val="0"/>
          <w:color w:val="auto"/>
          <w:spacing w:val="0"/>
          <w:sz w:val="32"/>
          <w:szCs w:val="32"/>
          <w:highlight w:val="none"/>
          <w:shd w:val="clear" w:fill="FFFFFF"/>
          <w:lang w:val="en-US" w:eastAsia="zh-CN"/>
        </w:rPr>
        <w:t>三</w:t>
      </w:r>
      <w:r>
        <w:rPr>
          <w:rFonts w:hint="eastAsia" w:ascii="宋体" w:hAnsi="宋体" w:eastAsia="宋体" w:cs="宋体"/>
          <w:b/>
          <w:bCs/>
          <w:i w:val="0"/>
          <w:iCs w:val="0"/>
          <w:caps w:val="0"/>
          <w:color w:val="auto"/>
          <w:spacing w:val="0"/>
          <w:sz w:val="32"/>
          <w:szCs w:val="32"/>
          <w:highlight w:val="none"/>
          <w:shd w:val="clear" w:fill="FFFFFF"/>
        </w:rPr>
        <w:t>、部门整体支出绩效情况</w:t>
      </w:r>
    </w:p>
    <w:p>
      <w:pPr>
        <w:spacing w:line="480" w:lineRule="auto"/>
        <w:ind w:firstLine="643" w:firstLineChars="200"/>
        <w:jc w:val="left"/>
        <w:rPr>
          <w:rFonts w:hint="eastAsia" w:ascii="宋体" w:hAnsi="宋体" w:eastAsia="宋体" w:cs="宋体"/>
          <w:b/>
          <w:bCs/>
          <w:i w:val="0"/>
          <w:iCs w:val="0"/>
          <w:caps w:val="0"/>
          <w:color w:val="auto"/>
          <w:spacing w:val="0"/>
          <w:sz w:val="32"/>
          <w:szCs w:val="32"/>
          <w:highlight w:val="none"/>
          <w:shd w:val="clear" w:fill="FFFFFF"/>
          <w:lang w:val="en-US" w:eastAsia="zh-CN"/>
        </w:rPr>
      </w:pPr>
      <w:r>
        <w:rPr>
          <w:rFonts w:hint="eastAsia" w:ascii="宋体" w:hAnsi="宋体" w:eastAsia="宋体" w:cs="宋体"/>
          <w:b/>
          <w:bCs/>
          <w:i w:val="0"/>
          <w:iCs w:val="0"/>
          <w:caps w:val="0"/>
          <w:color w:val="auto"/>
          <w:spacing w:val="0"/>
          <w:sz w:val="32"/>
          <w:szCs w:val="32"/>
          <w:highlight w:val="none"/>
          <w:shd w:val="clear" w:fill="FFFFFF"/>
          <w:lang w:val="en-US" w:eastAsia="zh-CN"/>
        </w:rPr>
        <w:t>（一）主要绩效指标完成情况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left="0" w:right="0" w:firstLine="420"/>
        <w:jc w:val="both"/>
        <w:rPr>
          <w:rFonts w:hint="default" w:ascii="宋体" w:hAnsi="宋体" w:eastAsia="宋体" w:cs="宋体"/>
          <w:i w:val="0"/>
          <w:iCs w:val="0"/>
          <w:caps w:val="0"/>
          <w:color w:val="auto"/>
          <w:spacing w:val="0"/>
          <w:kern w:val="2"/>
          <w:sz w:val="32"/>
          <w:szCs w:val="32"/>
          <w:highlight w:val="none"/>
          <w:shd w:val="clear" w:fill="FFFFFF"/>
          <w:lang w:val="en-US" w:eastAsia="zh-CN" w:bidi="ar-SA"/>
        </w:rPr>
      </w:pPr>
      <w:r>
        <w:rPr>
          <w:rFonts w:hint="eastAsia" w:ascii="宋体" w:hAnsi="宋体" w:eastAsia="宋体" w:cs="宋体"/>
          <w:b/>
          <w:bCs/>
          <w:i w:val="0"/>
          <w:iCs w:val="0"/>
          <w:caps w:val="0"/>
          <w:color w:val="auto"/>
          <w:spacing w:val="0"/>
          <w:sz w:val="32"/>
          <w:szCs w:val="32"/>
          <w:highlight w:val="none"/>
          <w:shd w:val="clear" w:fill="FFFFFF"/>
        </w:rPr>
        <w:t>1、预算执行情况。</w:t>
      </w:r>
      <w:r>
        <w:rPr>
          <w:rFonts w:hint="eastAsia" w:ascii="宋体" w:hAnsi="宋体" w:eastAsia="宋体" w:cs="宋体"/>
          <w:i w:val="0"/>
          <w:iCs w:val="0"/>
          <w:caps w:val="0"/>
          <w:color w:val="auto"/>
          <w:spacing w:val="0"/>
          <w:kern w:val="2"/>
          <w:sz w:val="32"/>
          <w:szCs w:val="32"/>
          <w:highlight w:val="none"/>
          <w:shd w:val="clear" w:fill="FFFFFF"/>
          <w:lang w:val="en-US" w:eastAsia="zh-CN" w:bidi="ar-SA"/>
        </w:rPr>
        <w:t>⑴2022年财政拨款预算执行数81.05万元，预算安排数48.12万元，预算执行率为</w:t>
      </w:r>
      <w:r>
        <w:rPr>
          <w:rFonts w:hint="eastAsia" w:ascii="宋体" w:hAnsi="宋体" w:eastAsia="宋体" w:cs="宋体"/>
          <w:i w:val="0"/>
          <w:iCs w:val="0"/>
          <w:caps w:val="0"/>
          <w:color w:val="000000"/>
          <w:spacing w:val="0"/>
          <w:sz w:val="32"/>
          <w:szCs w:val="32"/>
          <w:lang w:val="en-US" w:eastAsia="zh-CN"/>
        </w:rPr>
        <w:t>168.43</w:t>
      </w:r>
      <w:r>
        <w:rPr>
          <w:rFonts w:hint="eastAsia" w:ascii="宋体" w:hAnsi="宋体" w:eastAsia="宋体" w:cs="宋体"/>
          <w:i w:val="0"/>
          <w:iCs w:val="0"/>
          <w:caps w:val="0"/>
          <w:color w:val="auto"/>
          <w:spacing w:val="0"/>
          <w:kern w:val="2"/>
          <w:sz w:val="32"/>
          <w:szCs w:val="32"/>
          <w:highlight w:val="none"/>
          <w:shd w:val="clear" w:fill="FFFFFF"/>
          <w:lang w:val="en-US" w:eastAsia="zh-CN" w:bidi="ar-SA"/>
        </w:rPr>
        <w:t>%；当年预算有超支32.93万元。⑵公用经费预算15.84万元，实际支出50.78万元，公用经费控制率为320.58%；（3）“三公经费”年初预算安排0万元，实际支出0万元，（4）政府采购年初预算4.6万元，实际政府采购金额31.65万元。政府采购执行率688.04%。</w:t>
      </w:r>
      <w:bookmarkStart w:id="0" w:name="_GoBack"/>
      <w:bookmarkEnd w:id="0"/>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left="0" w:right="0" w:firstLine="420"/>
        <w:jc w:val="both"/>
        <w:rPr>
          <w:rFonts w:hint="eastAsia" w:ascii="宋体" w:hAnsi="宋体" w:eastAsia="宋体" w:cs="宋体"/>
          <w:i w:val="0"/>
          <w:iCs w:val="0"/>
          <w:caps w:val="0"/>
          <w:color w:val="auto"/>
          <w:spacing w:val="0"/>
          <w:kern w:val="2"/>
          <w:sz w:val="32"/>
          <w:szCs w:val="32"/>
          <w:shd w:val="clear" w:fill="FFFFFF"/>
          <w:lang w:val="en-US" w:eastAsia="zh-CN" w:bidi="ar-SA"/>
        </w:rPr>
      </w:pPr>
      <w:r>
        <w:rPr>
          <w:rFonts w:hint="eastAsia" w:ascii="宋体" w:hAnsi="宋体" w:eastAsia="宋体" w:cs="宋体"/>
          <w:b/>
          <w:bCs/>
          <w:i w:val="0"/>
          <w:iCs w:val="0"/>
          <w:caps w:val="0"/>
          <w:color w:val="auto"/>
          <w:spacing w:val="0"/>
          <w:sz w:val="32"/>
          <w:szCs w:val="32"/>
          <w:highlight w:val="none"/>
          <w:shd w:val="clear" w:fill="FFFFFF"/>
        </w:rPr>
        <w:t>2、预决算信息公开情况。</w:t>
      </w:r>
      <w:r>
        <w:rPr>
          <w:rFonts w:hint="eastAsia" w:ascii="宋体" w:hAnsi="宋体" w:eastAsia="宋体" w:cs="宋体"/>
          <w:b w:val="0"/>
          <w:bCs w:val="0"/>
          <w:i w:val="0"/>
          <w:iCs w:val="0"/>
          <w:caps w:val="0"/>
          <w:color w:val="auto"/>
          <w:spacing w:val="0"/>
          <w:sz w:val="32"/>
          <w:szCs w:val="32"/>
          <w:highlight w:val="none"/>
          <w:shd w:val="clear" w:fill="FFFFFF"/>
          <w:lang w:eastAsia="zh-CN"/>
        </w:rPr>
        <w:t>北塔区</w:t>
      </w:r>
      <w:r>
        <w:rPr>
          <w:rFonts w:hint="eastAsia" w:ascii="宋体" w:hAnsi="宋体" w:eastAsia="宋体" w:cs="宋体"/>
          <w:b w:val="0"/>
          <w:bCs w:val="0"/>
          <w:i w:val="0"/>
          <w:iCs w:val="0"/>
          <w:caps w:val="0"/>
          <w:color w:val="auto"/>
          <w:spacing w:val="0"/>
          <w:sz w:val="32"/>
          <w:szCs w:val="32"/>
          <w:highlight w:val="none"/>
          <w:shd w:val="clear" w:fill="FFFFFF"/>
          <w:lang w:val="en-US" w:eastAsia="zh-CN"/>
        </w:rPr>
        <w:t>妇联</w:t>
      </w:r>
      <w:r>
        <w:rPr>
          <w:rFonts w:hint="eastAsia" w:ascii="宋体" w:hAnsi="宋体" w:eastAsia="宋体" w:cs="宋体"/>
          <w:i w:val="0"/>
          <w:iCs w:val="0"/>
          <w:caps w:val="0"/>
          <w:color w:val="auto"/>
          <w:spacing w:val="0"/>
          <w:kern w:val="2"/>
          <w:sz w:val="32"/>
          <w:szCs w:val="32"/>
          <w:highlight w:val="none"/>
          <w:shd w:val="clear" w:fill="FFFFFF"/>
          <w:lang w:val="en-US" w:eastAsia="zh-CN" w:bidi="ar-SA"/>
        </w:rPr>
        <w:t>及时在区政</w:t>
      </w:r>
      <w:r>
        <w:rPr>
          <w:rFonts w:hint="eastAsia" w:ascii="宋体" w:hAnsi="宋体" w:eastAsia="宋体" w:cs="宋体"/>
          <w:i w:val="0"/>
          <w:iCs w:val="0"/>
          <w:caps w:val="0"/>
          <w:color w:val="auto"/>
          <w:spacing w:val="0"/>
          <w:kern w:val="2"/>
          <w:sz w:val="32"/>
          <w:szCs w:val="32"/>
          <w:shd w:val="clear" w:fill="FFFFFF"/>
          <w:lang w:val="en-US" w:eastAsia="zh-CN" w:bidi="ar-SA"/>
        </w:rPr>
        <w:t>府统一平台公开了部门预算、决算和绩效目标、绩效自评报告、“三公经费”等信息，接受群众和社会监督。</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line="480" w:lineRule="atLeast"/>
        <w:ind w:left="0" w:right="0" w:firstLine="420"/>
        <w:jc w:val="both"/>
        <w:rPr>
          <w:rFonts w:hint="eastAsia" w:ascii="宋体" w:hAnsi="宋体" w:eastAsia="宋体" w:cs="宋体"/>
          <w:i w:val="0"/>
          <w:iCs w:val="0"/>
          <w:caps w:val="0"/>
          <w:color w:val="auto"/>
          <w:spacing w:val="0"/>
          <w:kern w:val="2"/>
          <w:sz w:val="32"/>
          <w:szCs w:val="32"/>
          <w:shd w:val="clear" w:fill="FFFFFF"/>
          <w:lang w:val="en-US" w:eastAsia="zh-CN" w:bidi="ar-SA"/>
        </w:rPr>
      </w:pPr>
      <w:r>
        <w:rPr>
          <w:rFonts w:hint="eastAsia" w:ascii="宋体" w:hAnsi="宋体" w:eastAsia="宋体" w:cs="宋体"/>
          <w:b/>
          <w:bCs/>
          <w:i w:val="0"/>
          <w:iCs w:val="0"/>
          <w:caps w:val="0"/>
          <w:color w:val="auto"/>
          <w:spacing w:val="0"/>
          <w:sz w:val="32"/>
          <w:szCs w:val="32"/>
          <w:shd w:val="clear" w:fill="FFFFFF"/>
          <w:lang w:val="en-US" w:eastAsia="zh-CN"/>
        </w:rPr>
        <w:t>3</w:t>
      </w:r>
      <w:r>
        <w:rPr>
          <w:rFonts w:hint="eastAsia" w:ascii="宋体" w:hAnsi="宋体" w:eastAsia="宋体" w:cs="宋体"/>
          <w:b/>
          <w:bCs/>
          <w:i w:val="0"/>
          <w:iCs w:val="0"/>
          <w:caps w:val="0"/>
          <w:color w:val="auto"/>
          <w:spacing w:val="0"/>
          <w:sz w:val="32"/>
          <w:szCs w:val="32"/>
          <w:shd w:val="clear" w:fill="FFFFFF"/>
        </w:rPr>
        <w:t>、资产管理情况。</w:t>
      </w:r>
      <w:r>
        <w:rPr>
          <w:rFonts w:hint="eastAsia" w:ascii="宋体" w:hAnsi="宋体" w:eastAsia="宋体" w:cs="宋体"/>
          <w:i w:val="0"/>
          <w:iCs w:val="0"/>
          <w:caps w:val="0"/>
          <w:color w:val="auto"/>
          <w:spacing w:val="0"/>
          <w:kern w:val="2"/>
          <w:sz w:val="32"/>
          <w:szCs w:val="32"/>
          <w:shd w:val="clear" w:fill="FFFFFF"/>
          <w:lang w:val="en-US" w:eastAsia="zh-CN" w:bidi="ar-SA"/>
        </w:rPr>
        <w:t>截止2022年12月31日，</w:t>
      </w:r>
      <w:r>
        <w:rPr>
          <w:rFonts w:hint="eastAsia" w:ascii="宋体" w:hAnsi="宋体" w:eastAsia="宋体" w:cs="宋体"/>
          <w:color w:val="auto"/>
          <w:sz w:val="32"/>
          <w:szCs w:val="32"/>
          <w:lang w:eastAsia="zh-CN"/>
        </w:rPr>
        <w:t>北塔区</w:t>
      </w:r>
      <w:r>
        <w:rPr>
          <w:rFonts w:hint="eastAsia" w:ascii="宋体" w:hAnsi="宋体" w:eastAsia="宋体" w:cs="宋体"/>
          <w:color w:val="auto"/>
          <w:sz w:val="32"/>
          <w:szCs w:val="32"/>
          <w:lang w:val="en-US" w:eastAsia="zh-CN"/>
        </w:rPr>
        <w:t>妇联</w:t>
      </w:r>
      <w:r>
        <w:rPr>
          <w:rFonts w:hint="eastAsia" w:ascii="宋体" w:hAnsi="宋体" w:eastAsia="宋体" w:cs="宋体"/>
          <w:color w:val="auto"/>
          <w:sz w:val="32"/>
          <w:szCs w:val="32"/>
          <w:lang w:eastAsia="zh-CN"/>
        </w:rPr>
        <w:t>局</w:t>
      </w:r>
      <w:r>
        <w:rPr>
          <w:rFonts w:hint="eastAsia" w:ascii="宋体" w:hAnsi="宋体" w:eastAsia="宋体" w:cs="宋体"/>
          <w:i w:val="0"/>
          <w:iCs w:val="0"/>
          <w:caps w:val="0"/>
          <w:color w:val="auto"/>
          <w:spacing w:val="0"/>
          <w:kern w:val="2"/>
          <w:sz w:val="32"/>
          <w:szCs w:val="32"/>
          <w:highlight w:val="none"/>
          <w:shd w:val="clear" w:fill="FFFFFF"/>
          <w:lang w:val="en-US" w:eastAsia="zh-CN" w:bidi="ar-SA"/>
        </w:rPr>
        <w:t>拥有各类资产总额1.28万元，其中流动资产0.69万元，固定资产净值0.59万元。单位为加强资产管理，内部制定了资产管理制度，</w:t>
      </w:r>
      <w:r>
        <w:rPr>
          <w:rFonts w:hint="eastAsia" w:ascii="宋体" w:hAnsi="宋体" w:eastAsia="宋体" w:cs="宋体"/>
          <w:i w:val="0"/>
          <w:iCs w:val="0"/>
          <w:caps w:val="0"/>
          <w:color w:val="auto"/>
          <w:spacing w:val="0"/>
          <w:kern w:val="2"/>
          <w:sz w:val="32"/>
          <w:szCs w:val="32"/>
          <w:shd w:val="clear" w:fill="FFFFFF"/>
          <w:lang w:val="en-US" w:eastAsia="zh-CN" w:bidi="ar-SA"/>
        </w:rPr>
        <w:t>对各类资产的购置、保管、使用、报废、处置等方面都作出了明确的规定，制度要求所有办公设备（含办公用品）的添置，先由各委室提出申请，经业务分管领导审核同意后，再由办公室及时采购并建立固定资产实物登记台账，工作人员异动，必须及时办理固定资产移交手续，不得侵占和擅自带走，各委室不得擅自购买任何办公用品和设备，否则不予报销。</w:t>
      </w:r>
    </w:p>
    <w:p>
      <w:pPr>
        <w:spacing w:line="720" w:lineRule="auto"/>
        <w:ind w:firstLine="643" w:firstLineChars="200"/>
        <w:jc w:val="left"/>
        <w:rPr>
          <w:rFonts w:hint="eastAsia" w:ascii="宋体" w:hAnsi="宋体" w:eastAsia="宋体" w:cs="宋体"/>
          <w:b/>
          <w:bCs/>
          <w:i w:val="0"/>
          <w:iCs w:val="0"/>
          <w:caps w:val="0"/>
          <w:color w:val="auto"/>
          <w:spacing w:val="0"/>
          <w:sz w:val="32"/>
          <w:szCs w:val="32"/>
          <w:shd w:val="clear" w:fill="FFFFFF"/>
          <w:lang w:val="en-US" w:eastAsia="zh-CN"/>
        </w:rPr>
      </w:pPr>
      <w:r>
        <w:rPr>
          <w:rFonts w:hint="eastAsia" w:ascii="宋体" w:hAnsi="宋体" w:eastAsia="宋体" w:cs="宋体"/>
          <w:b/>
          <w:bCs/>
          <w:i w:val="0"/>
          <w:iCs w:val="0"/>
          <w:caps w:val="0"/>
          <w:color w:val="auto"/>
          <w:spacing w:val="0"/>
          <w:sz w:val="32"/>
          <w:szCs w:val="32"/>
          <w:shd w:val="clear" w:fill="FFFFFF"/>
          <w:lang w:val="en-US" w:eastAsia="zh-CN"/>
        </w:rPr>
        <w:t>（二）职责覆行和主要绩效情况</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hint="eastAsia" w:ascii="宋体" w:hAnsi="宋体" w:eastAsia="宋体" w:cs="宋体"/>
          <w:b w:val="0"/>
          <w:bCs w:val="0"/>
          <w:sz w:val="32"/>
          <w:szCs w:val="32"/>
        </w:rPr>
        <w:t>预算执行</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rPr>
        <w:t>一是建立预算执行责任制。将年度预算收入责任及预算支出额度逐一分解落实到各股室，形成领导重视、衔接紧密、齐抓共管的体制机制，建立预算指标额度台账，将预算执行情况作为年度目标考核的内容。二是建立预算执行信息化管理制度。在政务公开网公布部门财政预算批复及执行情况，及时公布“三公经费”支出情况，接受监督。三是建立健全项目资金管理制度。对于财政性专项资金，严格按专项资金项目实施方案执行，督促项目承担单位加快项目实施进度，及时办理报账、验收、结算等相关手续，做到不集中使用、不滥用资金，最大限度提高专项资金利用效率。</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lang w:val="en-US" w:eastAsia="zh-CN"/>
        </w:rPr>
        <w:t>2、</w:t>
      </w:r>
      <w:r>
        <w:rPr>
          <w:rFonts w:hint="eastAsia" w:ascii="宋体" w:hAnsi="宋体" w:eastAsia="宋体" w:cs="宋体"/>
          <w:b w:val="0"/>
          <w:bCs w:val="0"/>
          <w:sz w:val="32"/>
          <w:szCs w:val="32"/>
        </w:rPr>
        <w:t>预算管理</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rPr>
        <w:t>为规范机关财务管理，建立健全财务管理制度，我</w:t>
      </w:r>
      <w:r>
        <w:rPr>
          <w:rFonts w:hint="eastAsia" w:ascii="宋体" w:hAnsi="宋体" w:eastAsia="宋体" w:cs="宋体"/>
          <w:b w:val="0"/>
          <w:bCs w:val="0"/>
          <w:sz w:val="32"/>
          <w:szCs w:val="32"/>
          <w:lang w:val="en-US" w:eastAsia="zh-CN"/>
        </w:rPr>
        <w:t>联</w:t>
      </w:r>
      <w:r>
        <w:rPr>
          <w:rFonts w:hint="eastAsia" w:ascii="宋体" w:hAnsi="宋体" w:eastAsia="宋体" w:cs="宋体"/>
          <w:b w:val="0"/>
          <w:bCs w:val="0"/>
          <w:sz w:val="32"/>
          <w:szCs w:val="32"/>
        </w:rPr>
        <w:t>根据《会计法》、《预算法》、《政府会计准则》等法律和财政部、省财政厅有关财务规章制度等一系列合法合规、较为完整的、具有很强的可操作性财务管理制度。坚持经费预算科学化、精细化，执行控制规范化、责任化，监督检查常态化、同步化。</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资金的支付符合国家财经法规和财务管理制度规定，以及有关专项资金管理办法的规定；资金拨付有完整的审批程序和手续；支出符合部门预算批复的用途；资金使用没有截留、挪用、虚列支出、随意借用等情况；重大财务事项经由集体研究决策；专项资金做到专款专用；原始凭证的取得真实有效。部门预决算信息按规定内容，在规定的时限内予以公开。基础数据信息和会计信息资料真实、完整、准确。</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lang w:val="en-US" w:eastAsia="zh-CN"/>
        </w:rPr>
        <w:t>3、</w:t>
      </w:r>
      <w:r>
        <w:rPr>
          <w:rFonts w:hint="eastAsia" w:ascii="宋体" w:hAnsi="宋体" w:eastAsia="宋体" w:cs="宋体"/>
          <w:b w:val="0"/>
          <w:bCs w:val="0"/>
          <w:sz w:val="32"/>
          <w:szCs w:val="32"/>
        </w:rPr>
        <w:t>提升支出绩效</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rPr>
        <w:t>202</w:t>
      </w:r>
      <w:r>
        <w:rPr>
          <w:rFonts w:hint="eastAsia" w:ascii="宋体" w:hAnsi="宋体" w:eastAsia="宋体" w:cs="宋体"/>
          <w:b w:val="0"/>
          <w:bCs w:val="0"/>
          <w:sz w:val="32"/>
          <w:szCs w:val="32"/>
          <w:lang w:val="en-US" w:eastAsia="zh-CN"/>
        </w:rPr>
        <w:t>2</w:t>
      </w:r>
      <w:r>
        <w:rPr>
          <w:rFonts w:hint="eastAsia" w:ascii="宋体" w:hAnsi="宋体" w:eastAsia="宋体" w:cs="宋体"/>
          <w:b w:val="0"/>
          <w:bCs w:val="0"/>
          <w:sz w:val="32"/>
          <w:szCs w:val="32"/>
        </w:rPr>
        <w:t>年，我</w:t>
      </w:r>
      <w:r>
        <w:rPr>
          <w:rFonts w:hint="eastAsia" w:ascii="宋体" w:hAnsi="宋体" w:eastAsia="宋体" w:cs="宋体"/>
          <w:b w:val="0"/>
          <w:bCs w:val="0"/>
          <w:sz w:val="32"/>
          <w:szCs w:val="32"/>
          <w:lang w:val="en-US" w:eastAsia="zh-CN"/>
        </w:rPr>
        <w:t>联</w:t>
      </w:r>
      <w:r>
        <w:rPr>
          <w:rFonts w:hint="eastAsia" w:ascii="宋体" w:hAnsi="宋体" w:eastAsia="宋体" w:cs="宋体"/>
          <w:b w:val="0"/>
          <w:bCs w:val="0"/>
          <w:sz w:val="32"/>
          <w:szCs w:val="32"/>
        </w:rPr>
        <w:t>全面落实区委、区政府的各项工作部署，牢固树立发展意识，大力弘扬实干精神，扎实推进各项工作，各项工作任务全面完成，财务管理规范，单位行政运行稳定有序。</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宋体" w:hAnsi="宋体" w:eastAsia="宋体" w:cs="宋体"/>
          <w:b w:val="0"/>
          <w:bCs w:val="0"/>
          <w:i w:val="0"/>
          <w:iCs w:val="0"/>
          <w:caps w:val="0"/>
          <w:color w:val="auto"/>
          <w:spacing w:val="0"/>
          <w:kern w:val="2"/>
          <w:sz w:val="32"/>
          <w:szCs w:val="32"/>
          <w:shd w:val="clear" w:fill="FFFFFF"/>
          <w:lang w:val="en-US" w:eastAsia="zh-CN" w:bidi="ar-SA"/>
        </w:rPr>
      </w:pPr>
      <w:r>
        <w:rPr>
          <w:rFonts w:hint="eastAsia" w:ascii="宋体" w:hAnsi="宋体" w:eastAsia="宋体" w:cs="宋体"/>
          <w:b w:val="0"/>
          <w:bCs w:val="0"/>
          <w:sz w:val="32"/>
          <w:szCs w:val="32"/>
          <w:lang w:val="en-US" w:eastAsia="zh-CN"/>
        </w:rPr>
        <w:t>4、</w:t>
      </w:r>
      <w:r>
        <w:rPr>
          <w:rFonts w:hint="eastAsia" w:ascii="宋体" w:hAnsi="宋体" w:eastAsia="宋体" w:cs="宋体"/>
          <w:b w:val="0"/>
          <w:bCs w:val="0"/>
          <w:sz w:val="32"/>
          <w:szCs w:val="32"/>
        </w:rPr>
        <w:t>评价结论</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rPr>
        <w:t>我</w:t>
      </w:r>
      <w:r>
        <w:rPr>
          <w:rFonts w:hint="eastAsia" w:ascii="宋体" w:hAnsi="宋体" w:eastAsia="宋体" w:cs="宋体"/>
          <w:b w:val="0"/>
          <w:bCs w:val="0"/>
          <w:sz w:val="32"/>
          <w:szCs w:val="32"/>
          <w:lang w:val="en-US" w:eastAsia="zh-CN"/>
        </w:rPr>
        <w:t>联</w:t>
      </w:r>
      <w:r>
        <w:rPr>
          <w:rFonts w:hint="eastAsia" w:ascii="宋体" w:hAnsi="宋体" w:eastAsia="宋体" w:cs="宋体"/>
          <w:b w:val="0"/>
          <w:bCs w:val="0"/>
          <w:sz w:val="32"/>
          <w:szCs w:val="32"/>
        </w:rPr>
        <w:t>认真组织开展整体支出绩效自评，自评等级“良好”。</w:t>
      </w:r>
    </w:p>
    <w:p>
      <w:pPr>
        <w:pStyle w:val="6"/>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0" w:right="0" w:firstLine="420"/>
        <w:jc w:val="both"/>
        <w:rPr>
          <w:rFonts w:hint="eastAsia" w:ascii="宋体" w:hAnsi="宋体" w:eastAsia="宋体" w:cs="宋体"/>
          <w:b/>
          <w:bCs/>
          <w:i w:val="0"/>
          <w:iCs w:val="0"/>
          <w:caps w:val="0"/>
          <w:color w:val="auto"/>
          <w:spacing w:val="0"/>
          <w:sz w:val="32"/>
          <w:szCs w:val="32"/>
          <w:shd w:val="clear" w:fill="FFFFFF"/>
          <w:lang w:val="en-US" w:eastAsia="zh-CN"/>
        </w:rPr>
      </w:pPr>
      <w:r>
        <w:rPr>
          <w:rFonts w:hint="eastAsia" w:ascii="宋体" w:hAnsi="宋体" w:eastAsia="宋体" w:cs="宋体"/>
          <w:b/>
          <w:bCs/>
          <w:i w:val="0"/>
          <w:iCs w:val="0"/>
          <w:caps w:val="0"/>
          <w:color w:val="auto"/>
          <w:spacing w:val="0"/>
          <w:sz w:val="32"/>
          <w:szCs w:val="32"/>
          <w:shd w:val="clear" w:fill="FFFFFF"/>
          <w:lang w:val="en-US" w:eastAsia="zh-CN"/>
        </w:rPr>
        <w:t>存在的问题及原因分析</w:t>
      </w:r>
    </w:p>
    <w:p>
      <w:pPr>
        <w:pStyle w:val="6"/>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420" w:leftChars="0" w:right="0" w:righ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预算编制不够明确和细化，预算编制的合理性需要提高，预算执行力还要进一步加强。资金使用效益有待进一步提高，绩效目标设立不够明确、细化和量化。</w:t>
      </w:r>
    </w:p>
    <w:p>
      <w:pPr>
        <w:pStyle w:val="6"/>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420" w:leftChars="0" w:right="0" w:rightChars="0"/>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人员素质有待提高。由于人员变动，单位对相关绩效管理业务的熟练，加上缺乏系统的培训，业务操作水平有限。</w:t>
      </w:r>
    </w:p>
    <w:p>
      <w:pPr>
        <w:pStyle w:val="6"/>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240" w:beforeAutospacing="0" w:after="0" w:afterAutospacing="0" w:line="720" w:lineRule="auto"/>
        <w:ind w:left="0" w:leftChars="0" w:right="0" w:firstLine="420" w:firstLineChars="0"/>
        <w:jc w:val="both"/>
        <w:rPr>
          <w:rFonts w:hint="eastAsia" w:ascii="宋体" w:hAnsi="宋体" w:eastAsia="宋体" w:cs="宋体"/>
          <w:b/>
          <w:bCs/>
          <w:i w:val="0"/>
          <w:iCs w:val="0"/>
          <w:caps w:val="0"/>
          <w:color w:val="auto"/>
          <w:spacing w:val="0"/>
          <w:sz w:val="32"/>
          <w:szCs w:val="32"/>
          <w:shd w:val="clear" w:fill="FFFFFF"/>
          <w:lang w:val="en-US" w:eastAsia="zh-CN"/>
        </w:rPr>
      </w:pPr>
      <w:r>
        <w:rPr>
          <w:rFonts w:hint="eastAsia" w:ascii="宋体" w:hAnsi="宋体" w:eastAsia="宋体" w:cs="宋体"/>
          <w:b/>
          <w:bCs/>
          <w:i w:val="0"/>
          <w:iCs w:val="0"/>
          <w:caps w:val="0"/>
          <w:color w:val="auto"/>
          <w:spacing w:val="0"/>
          <w:sz w:val="32"/>
          <w:szCs w:val="32"/>
          <w:shd w:val="clear" w:fill="FFFFFF"/>
          <w:lang w:val="en-US" w:eastAsia="zh-CN"/>
        </w:rPr>
        <w:t>改进措施及有关建议</w:t>
      </w:r>
    </w:p>
    <w:p>
      <w:pPr>
        <w:widowControl/>
        <w:spacing w:line="600" w:lineRule="exact"/>
        <w:ind w:firstLine="645"/>
        <w:jc w:val="left"/>
        <w:rPr>
          <w:rFonts w:hint="eastAsia" w:ascii="宋体" w:hAnsi="宋体" w:eastAsia="宋体" w:cs="宋体"/>
          <w:kern w:val="0"/>
          <w:sz w:val="32"/>
          <w:szCs w:val="32"/>
          <w:lang w:val="en-US" w:eastAsia="zh-CN" w:bidi="ar"/>
        </w:rPr>
      </w:pPr>
      <w:r>
        <w:rPr>
          <w:rFonts w:hint="eastAsia" w:ascii="宋体" w:hAnsi="宋体" w:eastAsia="宋体" w:cs="宋体"/>
          <w:sz w:val="32"/>
          <w:szCs w:val="32"/>
        </w:rPr>
        <w:t>（一）</w:t>
      </w:r>
      <w:r>
        <w:rPr>
          <w:rFonts w:hint="eastAsia" w:ascii="宋体" w:hAnsi="宋体" w:eastAsia="宋体" w:cs="宋体"/>
          <w:kern w:val="0"/>
          <w:sz w:val="32"/>
          <w:szCs w:val="32"/>
          <w:lang w:val="en-US" w:eastAsia="zh-CN" w:bidi="ar"/>
        </w:rPr>
        <w:t>细化预算编制工作，认真做好预算的编制。进一步加强内设机构的预算管理意识，严格按照预算编制的相关制度和要求进行预算编制。</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宋体" w:hAnsi="宋体" w:eastAsia="宋体" w:cs="宋体"/>
          <w:kern w:val="0"/>
          <w:sz w:val="32"/>
          <w:szCs w:val="32"/>
          <w:lang w:val="en-US" w:eastAsia="zh-CN" w:bidi="ar"/>
        </w:rPr>
      </w:pPr>
      <w:r>
        <w:rPr>
          <w:rFonts w:hint="eastAsia" w:ascii="宋体" w:hAnsi="宋体" w:eastAsia="宋体" w:cs="宋体"/>
          <w:kern w:val="0"/>
          <w:sz w:val="32"/>
          <w:szCs w:val="32"/>
          <w:lang w:val="en-US" w:eastAsia="zh-CN" w:bidi="ar"/>
        </w:rPr>
        <w:t>（二）加强政策学习，提高思想认识。组织相关人员认真学习《会计法》、《预算法》等相关法规、制度，提高业务人员的业务水平及思想认识，为绩效评价工作夯实基础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1E7161"/>
    <w:multiLevelType w:val="singleLevel"/>
    <w:tmpl w:val="A71E7161"/>
    <w:lvl w:ilvl="0" w:tentative="0">
      <w:start w:val="2"/>
      <w:numFmt w:val="chineseCounting"/>
      <w:suff w:val="nothing"/>
      <w:lvlText w:val="（%1）"/>
      <w:lvlJc w:val="left"/>
      <w:rPr>
        <w:rFonts w:hint="eastAsia"/>
      </w:rPr>
    </w:lvl>
  </w:abstractNum>
  <w:abstractNum w:abstractNumId="1">
    <w:nsid w:val="AA82F546"/>
    <w:multiLevelType w:val="singleLevel"/>
    <w:tmpl w:val="AA82F546"/>
    <w:lvl w:ilvl="0" w:tentative="0">
      <w:start w:val="1"/>
      <w:numFmt w:val="decimal"/>
      <w:suff w:val="nothing"/>
      <w:lvlText w:val="%1、"/>
      <w:lvlJc w:val="left"/>
    </w:lvl>
  </w:abstractNum>
  <w:abstractNum w:abstractNumId="2">
    <w:nsid w:val="47A77A8D"/>
    <w:multiLevelType w:val="singleLevel"/>
    <w:tmpl w:val="47A77A8D"/>
    <w:lvl w:ilvl="0" w:tentative="0">
      <w:start w:val="4"/>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hMDM5NDllMmFkNTY4YmUxNmI0NDZjN2ZmZmMyYTcifQ=="/>
  </w:docVars>
  <w:rsids>
    <w:rsidRoot w:val="00000000"/>
    <w:rsid w:val="00554C33"/>
    <w:rsid w:val="006D6F3B"/>
    <w:rsid w:val="00D51644"/>
    <w:rsid w:val="025D08EA"/>
    <w:rsid w:val="02A74CAA"/>
    <w:rsid w:val="05213482"/>
    <w:rsid w:val="09137F54"/>
    <w:rsid w:val="09CF644B"/>
    <w:rsid w:val="09E17252"/>
    <w:rsid w:val="0A122902"/>
    <w:rsid w:val="0D5E3707"/>
    <w:rsid w:val="11733383"/>
    <w:rsid w:val="118063A3"/>
    <w:rsid w:val="11E84674"/>
    <w:rsid w:val="126C42B4"/>
    <w:rsid w:val="17042185"/>
    <w:rsid w:val="17B648CC"/>
    <w:rsid w:val="1C002766"/>
    <w:rsid w:val="1D2D4D96"/>
    <w:rsid w:val="1D9A1B96"/>
    <w:rsid w:val="1F010C8F"/>
    <w:rsid w:val="202B2B4C"/>
    <w:rsid w:val="20F63895"/>
    <w:rsid w:val="22D8603F"/>
    <w:rsid w:val="23DF601F"/>
    <w:rsid w:val="255915D8"/>
    <w:rsid w:val="26166273"/>
    <w:rsid w:val="289E030A"/>
    <w:rsid w:val="2B032004"/>
    <w:rsid w:val="2C3A1B18"/>
    <w:rsid w:val="2C7529D1"/>
    <w:rsid w:val="2D6C05C8"/>
    <w:rsid w:val="2DB256DE"/>
    <w:rsid w:val="2EFF0BCA"/>
    <w:rsid w:val="332B42F5"/>
    <w:rsid w:val="35D23F10"/>
    <w:rsid w:val="35F36D6D"/>
    <w:rsid w:val="3619015E"/>
    <w:rsid w:val="36E22B02"/>
    <w:rsid w:val="375C4F25"/>
    <w:rsid w:val="37A26170"/>
    <w:rsid w:val="38F247D2"/>
    <w:rsid w:val="3A365ACD"/>
    <w:rsid w:val="3B9303B2"/>
    <w:rsid w:val="3C8416D7"/>
    <w:rsid w:val="3E42660A"/>
    <w:rsid w:val="3FAB09ED"/>
    <w:rsid w:val="437717C3"/>
    <w:rsid w:val="44AF5D78"/>
    <w:rsid w:val="45833892"/>
    <w:rsid w:val="45CB4E15"/>
    <w:rsid w:val="470B1C8F"/>
    <w:rsid w:val="47D12ED9"/>
    <w:rsid w:val="4A4754D4"/>
    <w:rsid w:val="4ACA7AAB"/>
    <w:rsid w:val="4B991F60"/>
    <w:rsid w:val="4D113C42"/>
    <w:rsid w:val="4E422B8B"/>
    <w:rsid w:val="4E58558A"/>
    <w:rsid w:val="4EB250E6"/>
    <w:rsid w:val="4F3501F1"/>
    <w:rsid w:val="518E61BA"/>
    <w:rsid w:val="52C04276"/>
    <w:rsid w:val="53202F66"/>
    <w:rsid w:val="54517DF8"/>
    <w:rsid w:val="556605D6"/>
    <w:rsid w:val="55C776C9"/>
    <w:rsid w:val="575435C3"/>
    <w:rsid w:val="57BA05EF"/>
    <w:rsid w:val="58CA4CA4"/>
    <w:rsid w:val="59A70B1E"/>
    <w:rsid w:val="59E60318"/>
    <w:rsid w:val="5A78538F"/>
    <w:rsid w:val="5C8E7193"/>
    <w:rsid w:val="5CA8446E"/>
    <w:rsid w:val="5CBC5F90"/>
    <w:rsid w:val="5E6D1153"/>
    <w:rsid w:val="5F83500A"/>
    <w:rsid w:val="60745B56"/>
    <w:rsid w:val="613310AF"/>
    <w:rsid w:val="62652744"/>
    <w:rsid w:val="641F097E"/>
    <w:rsid w:val="6470642E"/>
    <w:rsid w:val="65236940"/>
    <w:rsid w:val="65C43C25"/>
    <w:rsid w:val="664A41B0"/>
    <w:rsid w:val="66D16D4F"/>
    <w:rsid w:val="66FE6113"/>
    <w:rsid w:val="67472364"/>
    <w:rsid w:val="680332E9"/>
    <w:rsid w:val="6B874FA2"/>
    <w:rsid w:val="6C3C4515"/>
    <w:rsid w:val="6C6B54E9"/>
    <w:rsid w:val="6FD52562"/>
    <w:rsid w:val="70514092"/>
    <w:rsid w:val="70852420"/>
    <w:rsid w:val="71881FAB"/>
    <w:rsid w:val="73125FD0"/>
    <w:rsid w:val="752E254E"/>
    <w:rsid w:val="76DC35F5"/>
    <w:rsid w:val="7832658D"/>
    <w:rsid w:val="79074D5F"/>
    <w:rsid w:val="7A21330E"/>
    <w:rsid w:val="7A461E16"/>
    <w:rsid w:val="7AF745AA"/>
    <w:rsid w:val="7B7D06A6"/>
    <w:rsid w:val="7CF23984"/>
    <w:rsid w:val="7F066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semiHidden/>
    <w:qFormat/>
    <w:uiPriority w:val="99"/>
    <w:pPr>
      <w:ind w:firstLine="420" w:firstLineChars="200"/>
    </w:pPr>
  </w:style>
  <w:style w:type="paragraph" w:styleId="3">
    <w:name w:val="Body Text Indent"/>
    <w:basedOn w:val="1"/>
    <w:semiHidden/>
    <w:qFormat/>
    <w:uiPriority w:val="99"/>
    <w:pPr>
      <w:spacing w:after="120"/>
      <w:ind w:left="420" w:leftChars="200"/>
    </w:pPr>
  </w:style>
  <w:style w:type="paragraph" w:styleId="5">
    <w:name w:val="Normal Indent"/>
    <w:basedOn w:val="1"/>
    <w:unhideWhenUsed/>
    <w:qFormat/>
    <w:uiPriority w:val="99"/>
    <w:pPr>
      <w:ind w:firstLine="420" w:firstLine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Default"/>
    <w:qFormat/>
    <w:uiPriority w:val="0"/>
    <w:pPr>
      <w:widowControl w:val="0"/>
      <w:autoSpaceDE w:val="0"/>
      <w:autoSpaceDN w:val="0"/>
      <w:adjustRightInd w:val="0"/>
    </w:pPr>
    <w:rPr>
      <w:rFonts w:ascii="黑体" w:eastAsia="黑体" w:cs="黑体"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2394</Words>
  <Characters>2540</Characters>
  <Lines>0</Lines>
  <Paragraphs>0</Paragraphs>
  <TotalTime>18</TotalTime>
  <ScaleCrop>false</ScaleCrop>
  <LinksUpToDate>false</LinksUpToDate>
  <CharactersWithSpaces>2541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2022-06-28T09:10:00Z</dcterms:created>
  <dc:creator>Administrator</dc:creator>
  <cp:lastModifiedBy>Administrator</cp:lastModifiedBy>
  <dcterms:modified xsi:type="dcterms:W3CDTF">2023-09-28T03:47:26Z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CAA3045AE5A749C0AAA4998C620B6F91_13</vt:lpwstr>
  </property>
</Properties>
</file>