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填报单位：岳阳市岳化二小                                   </w:t>
      </w:r>
    </w:p>
    <w:tbl>
      <w:tblPr>
        <w:tblStyle w:val="9"/>
        <w:tblW w:w="5425" w:type="pct"/>
        <w:tblInd w:w="-3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100.00%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1023.92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1023.92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313.38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313.38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710.54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710.54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3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中小学校舍安全改造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663.70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663.70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3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学生营养餐计划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30.40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30.40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3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小学生均公用经费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16.44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16.44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54.48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79.43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79.43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11.65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6.56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6.56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1.29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5.63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5.63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1.56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4.31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4.31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16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>
      <w:pPr>
        <w:pStyle w:val="16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岳阳市岳化二小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139029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17</w:t>
      </w:r>
      <w:r>
        <w:rPr>
          <w:rFonts w:hint="eastAsia" w:eastAsia="仿宋_GB2312"/>
          <w:sz w:val="32"/>
        </w:rPr>
        <w:t xml:space="preserve"> 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  <w:lang w:eastAsia="zh-CN"/>
        </w:rPr>
        <w:t>岳阳市岳化二小</w:t>
      </w:r>
      <w:r>
        <w:rPr>
          <w:rFonts w:hint="eastAsia" w:eastAsia="仿宋_GB2312"/>
          <w:sz w:val="32"/>
          <w:szCs w:val="32"/>
        </w:rPr>
        <w:t>（制）</w:t>
      </w:r>
    </w:p>
    <w:p>
      <w:pPr>
        <w:pStyle w:val="15"/>
        <w:rPr>
          <w:rFonts w:hint="eastAsia" w:eastAsia="仿宋_GB2312"/>
          <w:sz w:val="32"/>
          <w:szCs w:val="32"/>
        </w:rPr>
      </w:pPr>
    </w:p>
    <w:p>
      <w:pPr>
        <w:pStyle w:val="15"/>
        <w:rPr>
          <w:rFonts w:hint="eastAsia" w:eastAsia="仿宋_GB2312"/>
          <w:sz w:val="32"/>
          <w:szCs w:val="32"/>
        </w:rPr>
      </w:pPr>
    </w:p>
    <w:p>
      <w:pPr>
        <w:pStyle w:val="15"/>
        <w:rPr>
          <w:rFonts w:hint="eastAsia" w:eastAsia="仿宋_GB2312"/>
          <w:sz w:val="32"/>
          <w:szCs w:val="32"/>
        </w:rPr>
      </w:pPr>
    </w:p>
    <w:p>
      <w:pPr>
        <w:pStyle w:val="15"/>
        <w:rPr>
          <w:rFonts w:hint="eastAsia" w:eastAsia="仿宋_GB2312"/>
          <w:sz w:val="32"/>
          <w:szCs w:val="32"/>
        </w:rPr>
      </w:pPr>
    </w:p>
    <w:p>
      <w:pPr>
        <w:pStyle w:val="15"/>
        <w:rPr>
          <w:rFonts w:hint="eastAsia" w:eastAsia="仿宋_GB2312"/>
          <w:sz w:val="32"/>
          <w:szCs w:val="32"/>
        </w:rPr>
      </w:pPr>
    </w:p>
    <w:p>
      <w:pPr>
        <w:pStyle w:val="15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/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9"/>
        <w:tblW w:w="5495" w:type="pct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856"/>
        <w:gridCol w:w="887"/>
        <w:gridCol w:w="412"/>
        <w:gridCol w:w="1077"/>
        <w:gridCol w:w="1170"/>
        <w:gridCol w:w="990"/>
        <w:gridCol w:w="968"/>
        <w:gridCol w:w="666"/>
        <w:gridCol w:w="626"/>
        <w:gridCol w:w="9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41" w:type="pct"/>
            <w:gridSpan w:val="9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岳阳市岳化二小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87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5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1035.81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2055.66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2055.66</w:t>
            </w:r>
          </w:p>
        </w:tc>
        <w:tc>
          <w:tcPr>
            <w:tcW w:w="87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1749.25</w:t>
            </w:r>
          </w:p>
        </w:tc>
        <w:tc>
          <w:tcPr>
            <w:tcW w:w="87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1031.74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1023.92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306.41</w:t>
            </w:r>
          </w:p>
        </w:tc>
        <w:tc>
          <w:tcPr>
            <w:tcW w:w="87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1、促进教育公平有序发展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2、改善办学条件，提高教师素质和教学能力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3、社会、教师、学生、家长满意度95%以上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94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15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51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55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514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4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落实50名教师待遇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落实50名教师待遇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教育教学任务完成率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教育教学任务完成率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教师工资福利按时足额发放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教师工资福利按时足额发放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任务完成时间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提升教育教学质量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提升教育教学质量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改善学校校园环境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改善学校校园环境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逐步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改善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学生、教师、家长满意度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≥95%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≤2055.66万元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2055.66万元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66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66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优</w:t>
            </w:r>
          </w:p>
        </w:tc>
      </w:tr>
    </w:tbl>
    <w:p>
      <w:pPr>
        <w:pStyle w:val="13"/>
      </w:pPr>
    </w:p>
    <w:p>
      <w:pPr>
        <w:pStyle w:val="13"/>
      </w:pPr>
    </w:p>
    <w:p>
      <w:pPr>
        <w:pStyle w:val="13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  <w:rPr>
          <w:rFonts w:hint="eastAsia" w:eastAsia="宋体"/>
          <w:lang w:eastAsia="zh-CN"/>
        </w:rPr>
      </w:pPr>
    </w:p>
    <w:p>
      <w:pPr>
        <w:pStyle w:val="13"/>
        <w:ind w:left="0" w:leftChars="0" w:firstLine="0" w:firstLineChars="0"/>
        <w:rPr>
          <w:rFonts w:hint="eastAsia" w:eastAsia="宋体"/>
          <w:lang w:eastAsia="zh-CN"/>
        </w:rPr>
      </w:pPr>
    </w:p>
    <w:p>
      <w:pPr>
        <w:pStyle w:val="13"/>
        <w:ind w:left="0" w:leftChars="0" w:firstLine="0" w:firstLineChars="0"/>
        <w:rPr>
          <w:rFonts w:hint="eastAsia" w:eastAsia="宋体"/>
          <w:lang w:eastAsia="zh-CN"/>
        </w:rPr>
      </w:pPr>
    </w:p>
    <w:p>
      <w:pPr>
        <w:pStyle w:val="13"/>
        <w:ind w:left="0" w:leftChars="0" w:firstLine="0" w:firstLineChars="0"/>
      </w:pPr>
    </w:p>
    <w:tbl>
      <w:tblPr>
        <w:tblStyle w:val="9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pStyle w:val="13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岳阳市岳化二小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>
      <w:pPr>
        <w:bidi w:val="0"/>
      </w:pP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一、部门（单位）概况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default"/>
        </w:rPr>
        <w:t>（一）机构设置情况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岳阳市岳化二小内设机构包括：内设股室5个，分别为办公室，教务处，总务处，教研处，少队。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2023年末实有人数50人，其中：在职编制50人，临聘教职工0人，离退休0人。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1、实施小学义务教育，促进基础教育发展。小学学历教育，提供相关社会服务。</w:t>
      </w:r>
    </w:p>
    <w:p>
      <w:pPr>
        <w:pStyle w:val="3"/>
        <w:bidi w:val="0"/>
        <w:ind w:left="0" w:leftChars="0" w:firstLine="321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1、促进教育公平有序发展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2、改善办学条件，提高教师素质和教学能力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3、社会、教师、学生、家长满意度95%以上。</w:t>
      </w:r>
    </w:p>
    <w:p>
      <w:pPr>
        <w:pStyle w:val="2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二、一般公共预算支出情况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2023年决算支出2055.66万元，其中：基本支出1031.74万元，项目支出1023.92万元。</w:t>
      </w:r>
    </w:p>
    <w:p>
      <w:pPr>
        <w:pStyle w:val="4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2023年全年基本支出1031.74万元，其中：工资福利支出700.63万元、商品和服务支出79.43万元、对个人和家庭的补助251.67万元、债务利息及费用支出0万元、资本性支出0万元、其他支出0万元。</w:t>
      </w:r>
    </w:p>
    <w:p>
      <w:pPr>
        <w:pStyle w:val="4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项目支出情况</w:t>
      </w:r>
    </w:p>
    <w:p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项目支出是在基本支出之外为完成其特定的工作任务而发生的支出，主要用于专项工作的运转和设备升级等。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1023.92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万元，其中:中小学校舍安全改造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663.7万元，学生营养餐计划30.40万元，小学生均公用经费16.44万元,业务工作经费313.38万元。</w:t>
      </w:r>
    </w:p>
    <w:p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万元、因公出国（境）费用0万元、公务用车购置及运行费0万元。全年决算单位支出“三公”经费为0万元，其中：公务接待费0万元、因公出国（境）费用0万元、公务用车购置及运行费0万元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三、政府性基金预算支出情况</w:t>
      </w:r>
    </w:p>
    <w:p>
      <w:pPr>
        <w:pStyle w:val="17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四、国有资本经营预算支出情况</w:t>
      </w:r>
    </w:p>
    <w:p>
      <w:pPr>
        <w:pStyle w:val="17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五、社会保险基金预算支出情况</w:t>
      </w:r>
    </w:p>
    <w:p>
      <w:pPr>
        <w:pStyle w:val="17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六、部门整体支出绩效情况</w:t>
      </w:r>
    </w:p>
    <w:p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default"/>
        </w:rPr>
        <w:t>（一）综合评价结论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>
      <w:pPr>
        <w:pStyle w:val="3"/>
        <w:bidi w:val="0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default"/>
        </w:rPr>
        <w:t>（二）评价指标分析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1、社会效益指标</w:t>
      </w:r>
    </w:p>
    <w:p>
      <w:pPr>
        <w:jc w:val="left"/>
        <w:rPr>
          <w:rStyle w:val="11"/>
          <w:rFonts w:hint="eastAsia" w:ascii="仿宋" w:hAnsi="仿宋" w:eastAsia="仿宋" w:cs="仿宋"/>
          <w:b/>
          <w:bCs/>
          <w:color w:val="000000"/>
          <w:sz w:val="27"/>
          <w:szCs w:val="27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夯实教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育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教学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稳步向前发展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 xml:space="preserve"> 提升教育教学质量</w:t>
      </w:r>
    </w:p>
    <w:p>
      <w:pPr>
        <w:ind w:firstLine="542" w:firstLineChars="200"/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Style w:val="11"/>
          <w:rFonts w:hint="eastAsia" w:ascii="仿宋" w:hAnsi="仿宋" w:eastAsia="仿宋" w:cs="仿宋"/>
          <w:color w:val="000000"/>
          <w:sz w:val="27"/>
          <w:szCs w:val="27"/>
        </w:rPr>
        <w:t>　</w:t>
      </w:r>
      <w:r>
        <w:rPr>
          <w:rFonts w:hint="eastAsia" w:ascii="仿宋" w:hAnsi="仿宋" w:eastAsia="仿宋" w:cs="仿宋"/>
          <w:sz w:val="30"/>
          <w:szCs w:val="30"/>
        </w:rPr>
        <w:t>教学工作是学校的中心工作，是学校工作中最经常、最基本的工作，以教学为重点是办好学校的基本规律，加强教学过程管理是提高教学质量的首要途径。</w:t>
      </w:r>
    </w:p>
    <w:p>
      <w:pPr>
        <w:ind w:firstLine="600" w:firstLineChars="200"/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我校认真贯彻落实区教育局文件精神，在学校工作计划的指导下，以教学质量中心，以教学教研科学化实用化为方向，以提高课堂教学效率和全方位指标的学业质量评价为目标，以提高教师专业素质为关键，进一步加强教学工作的管理与指导，抓常规养习惯、抓教学、抓素质保质量，坚持以人为本的观念，以求真、务实、创新的工作作风，用心开展教学改革研究，全面优化学校教育教学管理，进一步提升学校的整体办学水平。在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>年上半年云溪区义务教育质量监测中，我校排区第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一</w:t>
      </w:r>
      <w:r>
        <w:rPr>
          <w:rFonts w:hint="eastAsia" w:ascii="仿宋" w:hAnsi="仿宋" w:eastAsia="仿宋" w:cs="仿宋"/>
          <w:sz w:val="30"/>
          <w:szCs w:val="30"/>
        </w:rPr>
        <w:t>名。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　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教研路上寻芬芳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 xml:space="preserve"> 共研共思共成长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b w:val="0"/>
          <w:bCs/>
          <w:sz w:val="30"/>
          <w:szCs w:val="30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</w:rPr>
        <w:t>一是教科研工作管理规范化。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建立健全学校各项考核考评机制，制定了《岳化二小校本培训积分管理制度》、《教研组考核评先方案》、《安全工作管理制度》、《教学常规管理制度》、《青年教师五年培训规划》、《岳化二小作业检查评选方案》等各项规章制度，对师德师风、教学管理、课堂教学、学生工作各个环节进行督促和考核，作为年终考核的重要依据。今年我校艺术组被评为云溪区优秀教研组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二是分学段分学科严抓教学常规管理。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1. 优化备课制度改革，切实做到“减量增效”。</w:t>
      </w:r>
      <w:r>
        <w:rPr>
          <w:rFonts w:hint="eastAsia" w:ascii="仿宋" w:hAnsi="仿宋" w:eastAsia="仿宋" w:cs="仿宋"/>
          <w:sz w:val="30"/>
          <w:szCs w:val="30"/>
        </w:rPr>
        <w:t>为落实我校提高备课质量、减轻教师负担、实现资源共享，提高教学效率的宗旨，我校教师的教案撰写分为独立撰写、电子备课、循环教案、共享教案等多种形式。通过备课方式改革让老师们从机械抄教案中解放出来，有更充足的时间去钻研教材，探究教法、学法，为有效提高了教育教学质量提供保障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2. 量化常规检查，规范常规过程，促进教学质量提升。</w:t>
      </w:r>
      <w:r>
        <w:rPr>
          <w:rFonts w:hint="eastAsia" w:ascii="仿宋" w:hAnsi="仿宋" w:eastAsia="仿宋" w:cs="仿宋"/>
          <w:sz w:val="30"/>
          <w:szCs w:val="30"/>
        </w:rPr>
        <w:t>教学常规工作实行量化统一检查，教务处组织各年级联点领导定期（期初、期中、期末）对每位教师的备课、听课、学习、作业、潜能生辅导、班主任工作、师徒合同、教研活动等进行全面、细致检查，并做到当面反馈，书面总结，集中讲评，检查结果与教师年度考核挂钩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3. 立足课堂，有效提高课堂教学效率。</w:t>
      </w:r>
      <w:r>
        <w:rPr>
          <w:rFonts w:hint="eastAsia" w:ascii="仿宋" w:hAnsi="仿宋" w:eastAsia="仿宋" w:cs="仿宋"/>
          <w:sz w:val="30"/>
          <w:szCs w:val="30"/>
        </w:rPr>
        <w:t>教研室定期开展学科先行课、家长开放日、青年教师教学竞赛、新进教师汇报课等教学研讨活动，做到课前有学情研讨，课堂有听课记录，课后有评课反思，同学科教师必须参与，鼓励其他学科教师参与，有效地促进了我校教育教学质量的提升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4. 进一步落实教研组建设，鼓励各组针对学情开展丰富多彩的学科活动。</w:t>
      </w:r>
      <w:r>
        <w:rPr>
          <w:rFonts w:hint="eastAsia" w:ascii="仿宋" w:hAnsi="仿宋" w:eastAsia="仿宋" w:cs="仿宋"/>
          <w:sz w:val="30"/>
          <w:szCs w:val="30"/>
        </w:rPr>
        <w:t>依据教研组考评方案，深化教育科研，加强教研组、备课组教研活动的管理和指导，实行联点领导负责，校级领导参与制（每个教研组校级领导每学期参加4次以上活动才能参与评优），推行以教学实际问题为核心，以教学实际案例为载体的校本教研制度建设，着力提高教学研究的针对性和时效性，发挥教学研究对提高教育教学质量的指导作用。以课堂教学研究为重点，开展有效课堂、高效学习的研究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5. 积极开展课题申报，以研促教提质。</w:t>
      </w:r>
      <w:r>
        <w:rPr>
          <w:rFonts w:hint="eastAsia" w:ascii="仿宋" w:hAnsi="仿宋" w:eastAsia="仿宋" w:cs="仿宋"/>
          <w:sz w:val="30"/>
          <w:szCs w:val="30"/>
        </w:rPr>
        <w:t>目前学校语文组有施军老师担任组长的省级课题一个，王菁老师担任组长的市级课题一个，体育组有任宇老师担任组长的市级课题一个。课题组成员参与面广，结合教育教学开展课题研究活动，做到了以研促教的目的。</w:t>
      </w:r>
    </w:p>
    <w:p>
      <w:pPr>
        <w:spacing w:line="360" w:lineRule="auto"/>
        <w:ind w:firstLine="600" w:firstLineChars="20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本学年</w:t>
      </w:r>
      <w:r>
        <w:rPr>
          <w:rFonts w:hint="eastAsia" w:ascii="仿宋" w:hAnsi="仿宋" w:eastAsia="仿宋" w:cs="仿宋"/>
          <w:sz w:val="30"/>
          <w:szCs w:val="30"/>
        </w:rPr>
        <w:t>共计有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22</w:t>
      </w:r>
      <w:r>
        <w:rPr>
          <w:rFonts w:hint="eastAsia" w:ascii="仿宋" w:hAnsi="仿宋" w:eastAsia="仿宋" w:cs="仿宋"/>
          <w:sz w:val="30"/>
          <w:szCs w:val="30"/>
        </w:rPr>
        <w:t>位老师的教育教学论文和教学案例在国家级、省市区级获奖，省级：一等奖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篇</w:t>
      </w:r>
      <w:r>
        <w:rPr>
          <w:rFonts w:hint="eastAsia" w:ascii="仿宋" w:hAnsi="仿宋" w:eastAsia="仿宋" w:cs="仿宋"/>
          <w:sz w:val="30"/>
          <w:szCs w:val="30"/>
        </w:rPr>
        <w:t>、二等奖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篇</w:t>
      </w:r>
      <w:r>
        <w:rPr>
          <w:rFonts w:hint="eastAsia" w:ascii="仿宋" w:hAnsi="仿宋" w:eastAsia="仿宋" w:cs="仿宋"/>
          <w:sz w:val="30"/>
          <w:szCs w:val="30"/>
        </w:rPr>
        <w:t>、三等奖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7篇、优秀奖3篇</w:t>
      </w:r>
      <w:r>
        <w:rPr>
          <w:rFonts w:hint="eastAsia" w:ascii="仿宋" w:hAnsi="仿宋" w:eastAsia="仿宋" w:cs="仿宋"/>
          <w:sz w:val="30"/>
          <w:szCs w:val="30"/>
        </w:rPr>
        <w:t>；区级：一等奖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篇</w:t>
      </w:r>
      <w:r>
        <w:rPr>
          <w:rFonts w:hint="eastAsia" w:ascii="仿宋" w:hAnsi="仿宋" w:eastAsia="仿宋" w:cs="仿宋"/>
          <w:sz w:val="30"/>
          <w:szCs w:val="30"/>
        </w:rPr>
        <w:t>、二等奖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篇</w:t>
      </w:r>
      <w:r>
        <w:rPr>
          <w:rFonts w:hint="eastAsia" w:ascii="仿宋" w:hAnsi="仿宋" w:eastAsia="仿宋" w:cs="仿宋"/>
          <w:sz w:val="30"/>
          <w:szCs w:val="30"/>
        </w:rPr>
        <w:t>、三等奖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3篇</w:t>
      </w:r>
      <w:r>
        <w:rPr>
          <w:rFonts w:hint="eastAsia" w:ascii="仿宋" w:hAnsi="仿宋" w:eastAsia="仿宋" w:cs="仿宋"/>
          <w:sz w:val="30"/>
          <w:szCs w:val="30"/>
        </w:rPr>
        <w:t>。其中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位</w:t>
      </w:r>
      <w:r>
        <w:rPr>
          <w:rFonts w:hint="eastAsia" w:ascii="仿宋" w:hAnsi="仿宋" w:eastAsia="仿宋" w:cs="仿宋"/>
          <w:sz w:val="30"/>
          <w:szCs w:val="30"/>
        </w:rPr>
        <w:t>老师的论文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分别</w:t>
      </w:r>
      <w:r>
        <w:rPr>
          <w:rFonts w:hint="eastAsia" w:ascii="仿宋" w:hAnsi="仿宋" w:eastAsia="仿宋" w:cs="仿宋"/>
          <w:sz w:val="30"/>
          <w:szCs w:val="30"/>
        </w:rPr>
        <w:t>在《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教育学研究</w:t>
      </w:r>
      <w:r>
        <w:rPr>
          <w:rFonts w:hint="eastAsia" w:ascii="仿宋" w:hAnsi="仿宋" w:eastAsia="仿宋" w:cs="仿宋"/>
          <w:sz w:val="30"/>
          <w:szCs w:val="30"/>
        </w:rPr>
        <w:t>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中小学教育</w:t>
      </w:r>
      <w:r>
        <w:rPr>
          <w:rFonts w:hint="eastAsia" w:ascii="仿宋" w:hAnsi="仿宋" w:eastAsia="仿宋" w:cs="仿宋"/>
          <w:sz w:val="30"/>
          <w:szCs w:val="30"/>
        </w:rPr>
        <w:t>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教学与研究</w:t>
      </w:r>
      <w:r>
        <w:rPr>
          <w:rFonts w:hint="eastAsia" w:ascii="仿宋" w:hAnsi="仿宋" w:eastAsia="仿宋" w:cs="仿宋"/>
          <w:sz w:val="30"/>
          <w:szCs w:val="30"/>
        </w:rPr>
        <w:t>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中小学素质教育</w:t>
      </w:r>
      <w:r>
        <w:rPr>
          <w:rFonts w:hint="eastAsia" w:ascii="仿宋" w:hAnsi="仿宋" w:eastAsia="仿宋" w:cs="仿宋"/>
          <w:sz w:val="30"/>
          <w:szCs w:val="30"/>
        </w:rPr>
        <w:t>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《快乐学习报》上发表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;5位老师在省级课件微课比赛中获二、三等奖。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三是夯实教师培训，提高教师素质。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1. 校本培训积分制管理：</w:t>
      </w:r>
      <w:r>
        <w:rPr>
          <w:rFonts w:hint="eastAsia" w:ascii="仿宋" w:hAnsi="仿宋" w:eastAsia="仿宋" w:cs="仿宋"/>
          <w:sz w:val="30"/>
          <w:szCs w:val="30"/>
        </w:rPr>
        <w:t>制定了校本培训积分制管理方案，做到有方案，有计划、有过程、有总结、有奖励。培训内容：基本功培训、学科培训、职业素养培训、课题培训、班主任培训、课堂教学实践、青年教师培训等。每位教师做到积极参与，自主研修，均完成了24学分培训任务，有效促进了教师综合素养的提高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2. 积极培养青年教师。</w:t>
      </w:r>
      <w:r>
        <w:rPr>
          <w:rFonts w:hint="eastAsia" w:ascii="仿宋" w:hAnsi="仿宋" w:eastAsia="仿宋" w:cs="仿宋"/>
          <w:sz w:val="30"/>
          <w:szCs w:val="30"/>
        </w:rPr>
        <w:t>①落实青蓝工程，组织新老教师结对子，签订师徒合同。②送出去，学经验。③随堂听课，促发展。④教学比武，促提高。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任宇老师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在岳阳市中小学体育与健康课教学竞赛中，荣获市一等奖；李益清老师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获云溪区“云梦杯”小学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数学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组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二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等奖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；多位老师的基础教育精品课获区二、三等奖。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3. 定期开展经验交流。</w:t>
      </w:r>
      <w:r>
        <w:rPr>
          <w:rFonts w:hint="eastAsia" w:ascii="仿宋" w:hAnsi="仿宋" w:eastAsia="仿宋" w:cs="仿宋"/>
          <w:sz w:val="30"/>
          <w:szCs w:val="30"/>
        </w:rPr>
        <w:t>每学年组织开展班科联系会，对学科教学、班级管理等经验进行交流，大家相互学习，共同提高。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四是扎实开展学科活动，促进学生全面发展。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各学科定期开展学科系列活动：语文活动有硬笔书法赛、口头作文赛、读书知识竞赛、现场作文赛、国学活动等；数学学科开展多种形式的计算比赛等；英语开展单词默写比赛；体育开展了春秋季田径运动会、跳绳比赛、高年级篮球赛等；艺术类的书画赛、庆六一文艺汇演、个人才艺赛、国学大型展演活动等等。通过系列活动，给同学们创造了锻炼的机会，让绝大部分学生有了展示自己的舞台。每次活动，学生们都有精心的准备，加上老师的认真辅导，有效地促进了学生的全面发展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  <w:lang w:val="en-US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岳阳市中小学生文艺作品评选中获三等奖2人，获区二等奖1人，三等奖1人；云溪区中小学生才艺大赛中，金奖1人，一等奖3人，二等奖9人；云溪区“中小学生课外阅读主题”征文中9人获三等奖；岳阳市青少年科学技能比赛中，获一等奖4人，二等奖7人，三等奖9人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云溪区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2023年中小学阳光体育运动会中，多名学生</w:t>
      </w:r>
      <w:r>
        <w:rPr>
          <w:rFonts w:hint="eastAsia" w:ascii="仿宋" w:hAnsi="仿宋" w:eastAsia="仿宋" w:cs="仿宋"/>
          <w:sz w:val="30"/>
          <w:szCs w:val="30"/>
        </w:rPr>
        <w:t>取得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了</w:t>
      </w:r>
      <w:r>
        <w:rPr>
          <w:rFonts w:hint="eastAsia" w:ascii="仿宋" w:hAnsi="仿宋" w:eastAsia="仿宋" w:cs="仿宋"/>
          <w:sz w:val="30"/>
          <w:szCs w:val="30"/>
        </w:rPr>
        <w:t>较好成绩。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五是传承优秀传统文化，打造学校特色。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b w:val="0"/>
          <w:bCs/>
          <w:sz w:val="30"/>
          <w:szCs w:val="30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</w:rPr>
        <w:t>1. 创建书香校园。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（1）开展学生读书口号、宣言、名言、名句征集活动。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为营造浓郁的读书氛围，让学校处处书香醉人、诗情画意。学校向三至六年级学生征集校园读书口号，班主任向学生征集班级读书宣言、名言、名句。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（2）在学生中开展好书好文章推荐活动。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学生阶段是人生读书的黄金时光，帮助学生养成热爱读书的习惯，多读书、读好书，会使他们终身受益。在此，学校开展好书好文章推荐活动，并将相关资料编辑成册。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（3）学生撰写读书心得体会文章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为了提高读书效果，加深对好书好文章的理解，在三至六年级学生中进行了撰写读书心得体会文章的活动，并进行书香班级、书香少年评比。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4）加强班级图书角建设。学校为每个教室配备专用图书柜，教师将学生所捐的课外书籍存放在书柜，由学生自由选择自己感兴趣的书籍。每班选2名学生作为班级兼职图书管理员，负责图书的登记、出借、归还等服务工作。学生一进教室，就能看到书柜上丰富多彩的阅读材料，激发其阅读的欲望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（5）开展读书节、故事会、讲名人读书故事比赛、“好书伴我成长”朗诵比赛、评选书香班级、评选书香少年等活动，推动读书活动进入新高潮。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b w:val="0"/>
          <w:bCs/>
          <w:sz w:val="30"/>
          <w:szCs w:val="30"/>
        </w:rPr>
      </w:pPr>
      <w:r>
        <w:rPr>
          <w:rFonts w:hint="eastAsia" w:ascii="仿宋" w:hAnsi="仿宋" w:eastAsia="仿宋" w:cs="仿宋"/>
          <w:b w:val="0"/>
          <w:bCs/>
          <w:sz w:val="30"/>
          <w:szCs w:val="30"/>
        </w:rPr>
        <w:t>2. 诵读国学经典，传承优秀文化。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开设国学课程。读经典国学，承传统文化，做文明使者。我校于2016年下半年开始，在全校学生中开设了国学课程，购置了小学国学教材，并根据教学实际，及时调整，一二年级选用《弟子规》，三四年级选用《小古文诵读》，五六年级选用《论语》。设计了教师专用教案，有专任老师上课，做到了“三进”：进课表、进课堂、进活动；“四定”：定老师、定时间、定教材、定教案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我校致力于传承中华优秀传统文化，本学年于3月份和12月份举办了两次大型国学诵读表演活动。学校分年级举行了国学表演活动。有诵读表演、有小古文小品、有舞蹈、武术操等，形式多样，让孩子们在国学的殿堂里，学国学，爱国学，提高自我素养。活动不仅得到了家长的一致好评，更是在此次语言文字工作验收中被重点表扬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生态效益指标</w:t>
      </w:r>
      <w:bookmarkStart w:id="0" w:name="_GoBack"/>
      <w:bookmarkEnd w:id="0"/>
    </w:p>
    <w:p>
      <w:pPr>
        <w:pStyle w:val="19"/>
        <w:widowControl/>
        <w:numPr>
          <w:ilvl w:val="0"/>
          <w:numId w:val="0"/>
        </w:numPr>
        <w:spacing w:line="360" w:lineRule="auto"/>
        <w:ind w:right="0" w:rightChars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完善教育教学设施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努力改善办学条件</w:t>
      </w:r>
    </w:p>
    <w:p>
      <w:pPr>
        <w:spacing w:line="360" w:lineRule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   我校积极实施民主决策，民主管理。学校评优评先、晋职晋级的方案与结果，财务收支情况都及时向老师进行公示。大宗物资采购，先上校办会讨论决定，再由党政工后勤人员集体采购，采购结果也进行公示。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1.投入资金2.5万在教学楼楼道内新装监控系统一套，摄像头20个，确保监控系统全覆盖。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2.投入资金1.6万安装不锈钢校园文化宣传窗12个，努力营造良好的校园文化氛围。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3.争取到区教体局专项资金26万，打造全新46座计算机云教室。更好适应信息技术教学新要求。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4.投入资金1万元为每个教室添置图书柜，为学生阅读提供便利，努力打造书香校园。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5.投入资金4万元，添置图书2000册。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6.投入资金1.36万，为部分班级、办公室更换窗帘。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7.投入资金1.6万为全校教室办公室更换门锁、门把手等。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8.投入资金1万元建设标准化心理咨询室。</w:t>
      </w:r>
    </w:p>
    <w:p>
      <w:pPr>
        <w:spacing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9.投资1300多万的学校食堂教师周转房项目顺利开工建设，目前已经实现主体封顶，有望明年5月建成投入使用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4、社会公众满意度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960" w:firstLineChars="300"/>
        <w:textAlignment w:val="auto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学生、教师、家长满意度95%以上，今后仍需不断努力</w:t>
      </w:r>
      <w:r>
        <w:rPr>
          <w:rFonts w:hint="eastAsia" w:ascii="仿宋" w:hAnsi="仿宋" w:eastAsia="仿宋" w:cs="Times New Roman"/>
          <w:sz w:val="32"/>
          <w:szCs w:val="32"/>
        </w:rPr>
        <w:t>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七、存在的问题及原因分析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八、下一步改进措施</w:t>
      </w:r>
    </w:p>
    <w:p>
      <w:pPr>
        <w:pStyle w:val="17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321" w:firstLineChars="100"/>
        <w:rPr>
          <w:rFonts w:hint="eastAsia"/>
          <w:lang w:val="en-US" w:eastAsia="en-US"/>
        </w:rPr>
      </w:pPr>
      <w:r>
        <w:rPr>
          <w:rFonts w:hint="eastAsia"/>
          <w:lang w:val="en-US" w:eastAsia="en-US"/>
        </w:rPr>
        <w:t>九、其他需要说明的情况</w:t>
      </w:r>
    </w:p>
    <w:p>
      <w:pPr>
        <w:pStyle w:val="17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outside" w:y="1"/>
      <w:rPr>
        <w:rStyle w:val="12"/>
        <w:sz w:val="24"/>
        <w:szCs w:val="24"/>
      </w:rPr>
    </w:pPr>
    <w:r>
      <w:rPr>
        <w:rStyle w:val="12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12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12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12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490BB8"/>
    <w:multiLevelType w:val="singleLevel"/>
    <w:tmpl w:val="06490BB8"/>
    <w:lvl w:ilvl="0" w:tentative="0">
      <w:start w:val="3"/>
      <w:numFmt w:val="decimal"/>
      <w:suff w:val="nothing"/>
      <w:lvlText w:val="%1、"/>
      <w:lvlJc w:val="left"/>
    </w:lvl>
  </w:abstractNum>
  <w:abstractNum w:abstractNumId="1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172A27"/>
    <w:rsid w:val="02A9251A"/>
    <w:rsid w:val="02B9263D"/>
    <w:rsid w:val="032B47A9"/>
    <w:rsid w:val="03AA1A5C"/>
    <w:rsid w:val="03DC1511"/>
    <w:rsid w:val="05375E6B"/>
    <w:rsid w:val="05CA0255"/>
    <w:rsid w:val="072B7061"/>
    <w:rsid w:val="07765EFA"/>
    <w:rsid w:val="08F77045"/>
    <w:rsid w:val="09F45FD8"/>
    <w:rsid w:val="0AF449E6"/>
    <w:rsid w:val="0BB42719"/>
    <w:rsid w:val="0C791C75"/>
    <w:rsid w:val="10E53545"/>
    <w:rsid w:val="11DD21FB"/>
    <w:rsid w:val="12524FF3"/>
    <w:rsid w:val="15155F83"/>
    <w:rsid w:val="151E0010"/>
    <w:rsid w:val="152C2AC9"/>
    <w:rsid w:val="16706D63"/>
    <w:rsid w:val="1711679D"/>
    <w:rsid w:val="186A0D56"/>
    <w:rsid w:val="19544915"/>
    <w:rsid w:val="19670BC4"/>
    <w:rsid w:val="1B1704A0"/>
    <w:rsid w:val="1C320A84"/>
    <w:rsid w:val="1D470521"/>
    <w:rsid w:val="1D4D5CD3"/>
    <w:rsid w:val="1DE927A9"/>
    <w:rsid w:val="1F713AC0"/>
    <w:rsid w:val="1FD1383D"/>
    <w:rsid w:val="20756E2D"/>
    <w:rsid w:val="23EF3B49"/>
    <w:rsid w:val="26534D14"/>
    <w:rsid w:val="279D7857"/>
    <w:rsid w:val="27B64475"/>
    <w:rsid w:val="27D863C0"/>
    <w:rsid w:val="28635EA4"/>
    <w:rsid w:val="2AB54840"/>
    <w:rsid w:val="2AE61515"/>
    <w:rsid w:val="2C09639A"/>
    <w:rsid w:val="2D701BA0"/>
    <w:rsid w:val="2D7E77E3"/>
    <w:rsid w:val="2DD67B47"/>
    <w:rsid w:val="31D12A10"/>
    <w:rsid w:val="320B6A4B"/>
    <w:rsid w:val="38D17A67"/>
    <w:rsid w:val="39667F7B"/>
    <w:rsid w:val="3D0C4AEA"/>
    <w:rsid w:val="3D684A0B"/>
    <w:rsid w:val="3DE6565C"/>
    <w:rsid w:val="3DFF5B32"/>
    <w:rsid w:val="41203882"/>
    <w:rsid w:val="41265F61"/>
    <w:rsid w:val="42075CA8"/>
    <w:rsid w:val="42400253"/>
    <w:rsid w:val="447A08AC"/>
    <w:rsid w:val="456D6663"/>
    <w:rsid w:val="45795F75"/>
    <w:rsid w:val="46523F83"/>
    <w:rsid w:val="465F578E"/>
    <w:rsid w:val="48FA4E76"/>
    <w:rsid w:val="498E170A"/>
    <w:rsid w:val="4E8B1F67"/>
    <w:rsid w:val="4FE20849"/>
    <w:rsid w:val="510D0FC2"/>
    <w:rsid w:val="55BA31FE"/>
    <w:rsid w:val="56F40992"/>
    <w:rsid w:val="57A15887"/>
    <w:rsid w:val="596423C7"/>
    <w:rsid w:val="5B5B0FE0"/>
    <w:rsid w:val="5C7E4EBD"/>
    <w:rsid w:val="5CC772D2"/>
    <w:rsid w:val="5F663B83"/>
    <w:rsid w:val="5F8D53A3"/>
    <w:rsid w:val="62326812"/>
    <w:rsid w:val="624A5785"/>
    <w:rsid w:val="624F2C18"/>
    <w:rsid w:val="63660064"/>
    <w:rsid w:val="63E53BC8"/>
    <w:rsid w:val="64673F7C"/>
    <w:rsid w:val="65D00FC6"/>
    <w:rsid w:val="66586A7F"/>
    <w:rsid w:val="69C12CD2"/>
    <w:rsid w:val="6A573944"/>
    <w:rsid w:val="6B38404F"/>
    <w:rsid w:val="6B8A28E3"/>
    <w:rsid w:val="6C336C88"/>
    <w:rsid w:val="6E2D7665"/>
    <w:rsid w:val="71436346"/>
    <w:rsid w:val="71561767"/>
    <w:rsid w:val="72A82F68"/>
    <w:rsid w:val="72B11A15"/>
    <w:rsid w:val="73C70602"/>
    <w:rsid w:val="76C92F4B"/>
    <w:rsid w:val="76E64558"/>
    <w:rsid w:val="785771FF"/>
    <w:rsid w:val="78A50E3F"/>
    <w:rsid w:val="7A463F19"/>
    <w:rsid w:val="7AAC2882"/>
    <w:rsid w:val="7C582B10"/>
    <w:rsid w:val="7DAD0FE3"/>
    <w:rsid w:val="7DED5DF2"/>
    <w:rsid w:val="7E9E345A"/>
    <w:rsid w:val="7EDC5EE9"/>
    <w:rsid w:val="7F0B3B28"/>
    <w:rsid w:val="7FB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styleId="6">
    <w:name w:val="toc 5"/>
    <w:basedOn w:val="1"/>
    <w:next w:val="1"/>
    <w:qFormat/>
    <w:uiPriority w:val="0"/>
    <w:pPr>
      <w:ind w:left="1680" w:leftChars="800"/>
    </w:pPr>
  </w:style>
  <w:style w:type="paragraph" w:styleId="7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  <w:bCs/>
    </w:rPr>
  </w:style>
  <w:style w:type="character" w:styleId="12">
    <w:name w:val="page number"/>
    <w:autoRedefine/>
    <w:qFormat/>
    <w:uiPriority w:val="0"/>
  </w:style>
  <w:style w:type="paragraph" w:customStyle="1" w:styleId="13">
    <w:name w:val="BodyText1I2"/>
    <w:basedOn w:val="14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4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5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6">
    <w:name w:val="标题1"/>
    <w:basedOn w:val="3"/>
    <w:autoRedefine/>
    <w:qFormat/>
    <w:uiPriority w:val="0"/>
    <w:rPr>
      <w:rFonts w:eastAsia="黑体"/>
    </w:rPr>
  </w:style>
  <w:style w:type="paragraph" w:customStyle="1" w:styleId="17">
    <w:name w:val="List Paragraph_a0f507d5-6e28-4914-b37f-020b7d2b0f7c"/>
    <w:basedOn w:val="1"/>
    <w:autoRedefine/>
    <w:qFormat/>
    <w:uiPriority w:val="0"/>
    <w:pPr>
      <w:ind w:firstLine="420" w:firstLineChars="200"/>
    </w:pPr>
  </w:style>
  <w:style w:type="paragraph" w:styleId="18">
    <w:name w:val="No Spacing"/>
    <w:autoRedefine/>
    <w:qFormat/>
    <w:uiPriority w:val="1"/>
    <w:pPr>
      <w:adjustRightInd w:val="0"/>
      <w:snapToGrid w:val="0"/>
      <w:spacing w:after="0" w:line="240" w:lineRule="auto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19">
    <w:name w:val="msolistparagraph"/>
    <w:basedOn w:val="1"/>
    <w:qFormat/>
    <w:uiPriority w:val="0"/>
    <w:pPr>
      <w:spacing w:line="365" w:lineRule="atLeast"/>
      <w:ind w:firstLine="420" w:firstLineChars="200"/>
      <w:textAlignment w:val="bottom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5891</Words>
  <Characters>6209</Characters>
  <Lines>1</Lines>
  <Paragraphs>1</Paragraphs>
  <TotalTime>0</TotalTime>
  <ScaleCrop>false</ScaleCrop>
  <LinksUpToDate>false</LinksUpToDate>
  <CharactersWithSpaces>6648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XIE</cp:lastModifiedBy>
  <dcterms:modified xsi:type="dcterms:W3CDTF">2024-06-24T18:01:23Z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2EACD47548BD4DE7A4D66C6CD41716BF_13</vt:lpwstr>
  </property>
</Properties>
</file>