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lang w:val="en-US" w:eastAsia="zh-CN"/>
        </w:rPr>
      </w:pPr>
      <w:r>
        <w:rPr>
          <w:rFonts w:hint="eastAsia"/>
          <w:lang w:val="en-US" w:eastAsia="zh-CN"/>
        </w:rPr>
        <w:t>附件1-1</w:t>
      </w:r>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部门整体支出绩效评价基础数据表</w:t>
      </w:r>
    </w:p>
    <w:p>
      <w:pPr>
        <w:widowControl/>
        <w:tabs>
          <w:tab w:val="left" w:pos="3611"/>
          <w:tab w:val="left" w:pos="4791"/>
          <w:tab w:val="left" w:pos="5951"/>
          <w:tab w:val="left" w:pos="7071"/>
          <w:tab w:val="left" w:pos="8191"/>
          <w:tab w:val="left" w:pos="9311"/>
        </w:tabs>
        <w:ind w:left="91"/>
        <w:jc w:val="left"/>
        <w:rPr>
          <w:rFonts w:hint="eastAsia" w:eastAsia="仿宋_GB2312"/>
          <w:kern w:val="0"/>
          <w:sz w:val="24"/>
          <w:lang w:val="en-US" w:eastAsia="zh-CN"/>
        </w:rPr>
      </w:pPr>
      <w:r>
        <w:rPr>
          <w:rFonts w:hint="eastAsia" w:eastAsia="仿宋_GB2312"/>
          <w:kern w:val="0"/>
          <w:sz w:val="24"/>
          <w:lang w:val="en-US" w:eastAsia="zh-CN"/>
        </w:rPr>
        <w:t xml:space="preserve">填报单位：岳阳市云溪区长岭街道财政所                                   </w:t>
      </w:r>
    </w:p>
    <w:tbl>
      <w:tblPr>
        <w:tblStyle w:val="7"/>
        <w:tblW w:w="5426" w:type="pct"/>
        <w:tblInd w:w="-3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2962"/>
        <w:gridCol w:w="1057"/>
        <w:gridCol w:w="995"/>
        <w:gridCol w:w="1152"/>
        <w:gridCol w:w="1008"/>
        <w:gridCol w:w="1293"/>
        <w:gridCol w:w="124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08" w:hRule="atLeast"/>
        </w:trPr>
        <w:tc>
          <w:tcPr>
            <w:tcW w:w="1525"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财政供养人员情况</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编制数</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2023年实际在职人数</w:t>
            </w:r>
          </w:p>
        </w:tc>
        <w:tc>
          <w:tcPr>
            <w:tcW w:w="1305"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4" w:hRule="atLeast"/>
        </w:trPr>
        <w:tc>
          <w:tcPr>
            <w:tcW w:w="1525"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78</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78</w:t>
            </w:r>
          </w:p>
        </w:tc>
        <w:tc>
          <w:tcPr>
            <w:tcW w:w="1305"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36"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经费控制情况(万元)</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2022年决算数</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2023年预算数</w:t>
            </w:r>
          </w:p>
        </w:tc>
        <w:tc>
          <w:tcPr>
            <w:tcW w:w="1305"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2023年决算数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三公经费</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5.96</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w:t>
            </w:r>
          </w:p>
        </w:tc>
        <w:tc>
          <w:tcPr>
            <w:tcW w:w="1305"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1、公务用车购置和维护经费</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5.09</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w:t>
            </w:r>
          </w:p>
        </w:tc>
        <w:tc>
          <w:tcPr>
            <w:tcW w:w="1305"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其中：公车购置</w:t>
            </w:r>
          </w:p>
        </w:tc>
        <w:tc>
          <w:tcPr>
            <w:tcW w:w="1056"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1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公车运行维护</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5.09</w:t>
            </w:r>
          </w:p>
        </w:tc>
        <w:tc>
          <w:tcPr>
            <w:tcW w:w="111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2、出国经费</w:t>
            </w:r>
          </w:p>
        </w:tc>
        <w:tc>
          <w:tcPr>
            <w:tcW w:w="1056"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1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3、公务接待</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0.87</w:t>
            </w:r>
          </w:p>
        </w:tc>
        <w:tc>
          <w:tcPr>
            <w:tcW w:w="111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项目支出：</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1305"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1、业务工作经费</w:t>
            </w:r>
          </w:p>
        </w:tc>
        <w:tc>
          <w:tcPr>
            <w:tcW w:w="1056"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1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2、运行维护经费</w:t>
            </w:r>
          </w:p>
        </w:tc>
        <w:tc>
          <w:tcPr>
            <w:tcW w:w="1056"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1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3、本级专项资金（一个专项一行）</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1305"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2023年内贸发展资金</w:t>
            </w:r>
          </w:p>
        </w:tc>
        <w:tc>
          <w:tcPr>
            <w:tcW w:w="1056"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1305"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公用经费：</w:t>
            </w:r>
          </w:p>
        </w:tc>
        <w:tc>
          <w:tcPr>
            <w:tcW w:w="1056"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1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其中：办公经费</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17.72</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15</w:t>
            </w: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水费、电费、差旅费</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19.46</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11</w:t>
            </w: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会议费、培训费</w:t>
            </w:r>
          </w:p>
        </w:tc>
        <w:tc>
          <w:tcPr>
            <w:tcW w:w="1056"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0.48</w:t>
            </w:r>
          </w:p>
        </w:tc>
        <w:tc>
          <w:tcPr>
            <w:tcW w:w="1112"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10.51</w:t>
            </w: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政府采购金额</w:t>
            </w:r>
          </w:p>
        </w:tc>
        <w:tc>
          <w:tcPr>
            <w:tcW w:w="1056"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1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8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 xml:space="preserve">部门基本支出预算调整 </w:t>
            </w:r>
          </w:p>
        </w:tc>
        <w:tc>
          <w:tcPr>
            <w:tcW w:w="1056"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112"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1305"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876" w:hRule="atLeast"/>
        </w:trPr>
        <w:tc>
          <w:tcPr>
            <w:tcW w:w="1525"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楼堂馆所控制情况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（2023年完工项目）</w:t>
            </w:r>
          </w:p>
        </w:tc>
        <w:tc>
          <w:tcPr>
            <w:tcW w:w="544"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 xml:space="preserve">批复规模 </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5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实际规模</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w:t>
            </w:r>
          </w:p>
        </w:tc>
        <w:tc>
          <w:tcPr>
            <w:tcW w:w="593"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规模控制率</w:t>
            </w:r>
          </w:p>
        </w:tc>
        <w:tc>
          <w:tcPr>
            <w:tcW w:w="51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预算投资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666"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kern w:val="0"/>
                <w:sz w:val="20"/>
                <w:szCs w:val="20"/>
                <w:u w:val="none"/>
                <w:lang w:val="en-US" w:eastAsia="zh-CN" w:bidi="ar"/>
              </w:rPr>
            </w:pPr>
            <w:r>
              <w:rPr>
                <w:rFonts w:hint="eastAsia" w:ascii="仿宋_GB2312" w:hAnsi="仿宋_GB2312" w:eastAsia="仿宋_GB2312" w:cs="仿宋_GB2312"/>
                <w:b/>
                <w:bCs/>
                <w:i w:val="0"/>
                <w:iCs w:val="0"/>
                <w:color w:val="000000"/>
                <w:kern w:val="0"/>
                <w:sz w:val="20"/>
                <w:szCs w:val="20"/>
                <w:u w:val="none"/>
                <w:lang w:val="en-US" w:eastAsia="zh-CN" w:bidi="ar"/>
              </w:rPr>
              <w:t>实际投资</w:t>
            </w:r>
          </w:p>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（万元）</w:t>
            </w:r>
          </w:p>
        </w:tc>
        <w:tc>
          <w:tcPr>
            <w:tcW w:w="639"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投资概算控制率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4" w:hRule="atLeast"/>
        </w:trPr>
        <w:tc>
          <w:tcPr>
            <w:tcW w:w="1525"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544"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512"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593"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518"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66"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c>
          <w:tcPr>
            <w:tcW w:w="639" w:type="pct"/>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1008" w:hRule="atLeast"/>
        </w:trPr>
        <w:tc>
          <w:tcPr>
            <w:tcW w:w="1525"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厉行节约保障措施</w:t>
            </w:r>
          </w:p>
        </w:tc>
        <w:tc>
          <w:tcPr>
            <w:tcW w:w="3474" w:type="pct"/>
            <w:gridSpan w:val="6"/>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bl>
    <w:p>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eastAsia="仿宋_GB2312"/>
          <w:kern w:val="0"/>
          <w:sz w:val="22"/>
        </w:rPr>
      </w:pPr>
    </w:p>
    <w:p>
      <w:pPr>
        <w:pStyle w:val="13"/>
        <w:keepNext/>
        <w:keepLines/>
        <w:pageBreakBefore w:val="0"/>
        <w:widowControl w:val="0"/>
        <w:kinsoku/>
        <w:wordWrap/>
        <w:overflowPunct/>
        <w:topLinePunct w:val="0"/>
        <w:autoSpaceDE/>
        <w:autoSpaceDN/>
        <w:bidi w:val="0"/>
        <w:adjustRightInd/>
        <w:snapToGrid/>
        <w:spacing w:line="280" w:lineRule="exact"/>
        <w:ind w:left="0" w:leftChars="0" w:firstLine="0" w:firstLineChars="0"/>
        <w:textAlignment w:val="auto"/>
        <w:outlineLvl w:val="9"/>
        <w:rPr>
          <w:rFonts w:hint="eastAsia"/>
          <w:lang w:val="en-US" w:eastAsia="zh-CN"/>
        </w:rPr>
      </w:pPr>
      <w:r>
        <w:rPr>
          <w:rFonts w:eastAsia="仿宋_GB2312"/>
          <w:kern w:val="0"/>
          <w:sz w:val="22"/>
        </w:rPr>
        <w:t>说明：“项目支出”需要填报基本支出以外的所有项目支出情况，“公用经费”填报基本支出中的一般商品和服务支出。</w:t>
      </w:r>
    </w:p>
    <w:p>
      <w:pPr>
        <w:widowControl w:val="0"/>
        <w:kinsoku/>
        <w:autoSpaceDE/>
        <w:autoSpaceDN/>
        <w:adjustRightInd/>
        <w:snapToGrid/>
        <w:spacing w:line="600" w:lineRule="exact"/>
        <w:jc w:val="both"/>
        <w:textAlignment w:val="auto"/>
        <w:rPr>
          <w:rFonts w:hint="default" w:ascii="Times New Roman" w:hAnsi="Times New Roman" w:eastAsia="仿宋_GB2312" w:cs="Times New Roman"/>
          <w:snapToGrid/>
          <w:color w:val="000000"/>
          <w:kern w:val="0"/>
          <w:sz w:val="24"/>
          <w:szCs w:val="24"/>
          <w:lang w:val="en-US" w:eastAsia="zh-CN" w:bidi="ar-SA"/>
        </w:rPr>
      </w:pPr>
      <w:r>
        <w:rPr>
          <w:rFonts w:hint="default" w:ascii="Times New Roman" w:hAnsi="Times New Roman" w:eastAsia="仿宋_GB2312" w:cs="Times New Roman"/>
          <w:snapToGrid/>
          <w:color w:val="000000"/>
          <w:kern w:val="0"/>
          <w:sz w:val="24"/>
          <w:szCs w:val="24"/>
          <w:lang w:val="en-US" w:eastAsia="zh-CN" w:bidi="ar-SA"/>
        </w:rPr>
        <w:t>填表人：</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 xml:space="preserve">  填报日期：</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联系电话：</w:t>
      </w:r>
      <w:r>
        <w:rPr>
          <w:rFonts w:hint="eastAsia" w:ascii="Times New Roman" w:hAnsi="Times New Roman" w:eastAsia="仿宋_GB2312" w:cs="Times New Roman"/>
          <w:snapToGrid/>
          <w:color w:val="000000"/>
          <w:kern w:val="0"/>
          <w:sz w:val="24"/>
          <w:szCs w:val="24"/>
          <w:lang w:val="en-US" w:eastAsia="zh-CN" w:bidi="ar-SA"/>
        </w:rPr>
        <w:t xml:space="preserve">       </w:t>
      </w:r>
      <w:r>
        <w:rPr>
          <w:rFonts w:hint="default" w:ascii="Times New Roman" w:hAnsi="Times New Roman" w:eastAsia="仿宋_GB2312" w:cs="Times New Roman"/>
          <w:snapToGrid/>
          <w:color w:val="000000"/>
          <w:kern w:val="0"/>
          <w:sz w:val="24"/>
          <w:szCs w:val="24"/>
          <w:lang w:val="en-US" w:eastAsia="zh-CN" w:bidi="ar-SA"/>
        </w:rPr>
        <w:t>单位负责人签字：</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sectPr>
          <w:footerReference r:id="rId3" w:type="default"/>
          <w:footerReference r:id="rId4" w:type="even"/>
          <w:pgSz w:w="11906" w:h="16838"/>
          <w:pgMar w:top="1588" w:right="1588" w:bottom="1588" w:left="1588" w:header="851" w:footer="992" w:gutter="0"/>
          <w:pgNumType w:start="1"/>
          <w:cols w:space="720" w:num="1"/>
          <w:titlePg/>
          <w:docGrid w:type="linesAndChars" w:linePitch="602" w:charSpace="-782"/>
        </w:sectPr>
      </w:pP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r>
        <w:rPr>
          <w:rFonts w:hint="eastAsia" w:ascii="黑体" w:hAnsi="黑体" w:eastAsia="黑体" w:cs="黑体"/>
          <w:bCs/>
          <w:sz w:val="32"/>
          <w:szCs w:val="32"/>
        </w:rPr>
        <w:t>附件</w:t>
      </w:r>
      <w:r>
        <w:rPr>
          <w:rFonts w:hint="eastAsia" w:ascii="黑体" w:hAnsi="黑体" w:eastAsia="黑体" w:cs="黑体"/>
          <w:bCs/>
          <w:sz w:val="32"/>
          <w:szCs w:val="32"/>
          <w:lang w:val="en-US" w:eastAsia="zh-CN"/>
        </w:rPr>
        <w:t>3-1</w:t>
      </w:r>
      <w:r>
        <w:rPr>
          <w:rFonts w:hint="eastAsia" w:ascii="黑体" w:hAnsi="黑体" w:eastAsia="黑体" w:cs="黑体"/>
          <w:bCs/>
          <w:sz w:val="32"/>
          <w:szCs w:val="32"/>
        </w:rPr>
        <w:t>：</w:t>
      </w:r>
    </w:p>
    <w:p>
      <w:pPr>
        <w:keepNext w:val="0"/>
        <w:keepLines w:val="0"/>
        <w:pageBreakBefore w:val="0"/>
        <w:kinsoku/>
        <w:overflowPunct/>
        <w:topLinePunct w:val="0"/>
        <w:autoSpaceDE/>
        <w:bidi w:val="0"/>
        <w:spacing w:line="560" w:lineRule="exact"/>
        <w:rPr>
          <w:rFonts w:hint="eastAsia" w:ascii="黑体" w:hAnsi="黑体" w:eastAsia="黑体" w:cs="黑体"/>
          <w:bCs/>
          <w:sz w:val="32"/>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岳阳市云溪区</w:t>
      </w:r>
      <w:r>
        <w:rPr>
          <w:rFonts w:hint="eastAsia" w:ascii="宋体" w:hAnsi="宋体" w:eastAsia="宋体" w:cs="宋体"/>
          <w:b/>
          <w:bCs w:val="0"/>
          <w:sz w:val="46"/>
          <w:szCs w:val="46"/>
          <w:u w:val="single"/>
        </w:rPr>
        <w:t>20</w:t>
      </w:r>
      <w:r>
        <w:rPr>
          <w:rFonts w:hint="eastAsia" w:ascii="宋体" w:hAnsi="宋体" w:eastAsia="宋体" w:cs="宋体"/>
          <w:b/>
          <w:bCs w:val="0"/>
          <w:sz w:val="46"/>
          <w:szCs w:val="46"/>
          <w:u w:val="single"/>
          <w:lang w:val="en-US" w:eastAsia="zh-CN"/>
        </w:rPr>
        <w:t>23</w:t>
      </w:r>
      <w:r>
        <w:rPr>
          <w:rFonts w:hint="eastAsia" w:ascii="宋体" w:hAnsi="宋体" w:eastAsia="宋体" w:cs="宋体"/>
          <w:b/>
          <w:bCs w:val="0"/>
          <w:sz w:val="46"/>
          <w:szCs w:val="46"/>
        </w:rPr>
        <w:t>年度部门整体支出</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b/>
          <w:bCs w:val="0"/>
          <w:sz w:val="46"/>
          <w:szCs w:val="46"/>
        </w:rPr>
      </w:pPr>
      <w:r>
        <w:rPr>
          <w:rFonts w:hint="eastAsia" w:ascii="宋体" w:hAnsi="宋体" w:eastAsia="宋体" w:cs="宋体"/>
          <w:b/>
          <w:bCs w:val="0"/>
          <w:sz w:val="46"/>
          <w:szCs w:val="46"/>
        </w:rPr>
        <w:t>绩效评价自评报告</w:t>
      </w: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r>
        <w:rPr>
          <w:rFonts w:hint="eastAsia" w:eastAsia="仿宋_GB2312"/>
          <w:b/>
          <w:sz w:val="32"/>
          <w:lang w:val="en-US" w:eastAsia="zh-CN"/>
        </w:rPr>
        <w:t xml:space="preserve"> </w:t>
      </w: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lang w:val="en-US" w:eastAsia="zh-CN"/>
        </w:rPr>
      </w:pPr>
    </w:p>
    <w:p>
      <w:pPr>
        <w:keepNext w:val="0"/>
        <w:keepLines w:val="0"/>
        <w:pageBreakBefore w:val="0"/>
        <w:kinsoku/>
        <w:overflowPunct/>
        <w:topLinePunct w:val="0"/>
        <w:autoSpaceDE/>
        <w:bidi w:val="0"/>
        <w:spacing w:line="560" w:lineRule="exact"/>
        <w:rPr>
          <w:rFonts w:hint="eastAsia" w:eastAsia="仿宋_GB2312"/>
          <w:b/>
          <w:sz w:val="32"/>
        </w:rPr>
      </w:pP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u w:val="single"/>
        </w:rPr>
      </w:pPr>
      <w:r>
        <w:rPr>
          <w:rFonts w:hint="eastAsia" w:eastAsia="仿宋_GB2312"/>
          <w:sz w:val="32"/>
          <w:szCs w:val="32"/>
        </w:rPr>
        <w:t>部门(单位)名称：</w:t>
      </w:r>
      <w:r>
        <w:rPr>
          <w:rFonts w:hint="eastAsia" w:eastAsia="仿宋_GB2312"/>
          <w:sz w:val="32"/>
          <w:szCs w:val="32"/>
          <w:u w:val="single"/>
        </w:rPr>
        <w:t xml:space="preserve">     岳阳市云溪区长岭街道财政所                              </w:t>
      </w:r>
    </w:p>
    <w:p>
      <w:pPr>
        <w:keepNext w:val="0"/>
        <w:keepLines w:val="0"/>
        <w:pageBreakBefore w:val="0"/>
        <w:kinsoku/>
        <w:overflowPunct/>
        <w:topLinePunct w:val="0"/>
        <w:autoSpaceDE/>
        <w:bidi w:val="0"/>
        <w:spacing w:line="560" w:lineRule="exact"/>
        <w:ind w:firstLine="476" w:firstLineChars="150"/>
        <w:rPr>
          <w:rFonts w:hint="eastAsia" w:eastAsia="仿宋_GB2312"/>
          <w:spacing w:val="20"/>
          <w:sz w:val="32"/>
          <w:szCs w:val="32"/>
        </w:rPr>
      </w:pPr>
      <w:r>
        <w:rPr>
          <w:rFonts w:hint="eastAsia" w:eastAsia="仿宋_GB2312"/>
          <w:sz w:val="32"/>
          <w:szCs w:val="32"/>
        </w:rPr>
        <w:t>预</w:t>
      </w:r>
      <w:r>
        <w:rPr>
          <w:rFonts w:hint="eastAsia" w:eastAsia="仿宋_GB2312"/>
          <w:spacing w:val="30"/>
          <w:sz w:val="32"/>
          <w:szCs w:val="32"/>
        </w:rPr>
        <w:t xml:space="preserve"> 算 编 码：</w:t>
      </w:r>
      <w:r>
        <w:rPr>
          <w:rFonts w:hint="eastAsia" w:eastAsia="仿宋_GB2312"/>
          <w:spacing w:val="20"/>
          <w:sz w:val="32"/>
          <w:szCs w:val="32"/>
          <w:u w:val="single"/>
        </w:rPr>
        <w:t xml:space="preserve">          </w:t>
      </w:r>
      <w:r>
        <w:rPr>
          <w:rFonts w:hint="eastAsia" w:eastAsia="仿宋_GB2312"/>
          <w:spacing w:val="20"/>
          <w:sz w:val="32"/>
          <w:szCs w:val="32"/>
          <w:u w:val="single"/>
          <w:lang w:val="en-US" w:eastAsia="zh-CN"/>
        </w:rPr>
        <w:t>608004</w:t>
      </w:r>
      <w:r>
        <w:rPr>
          <w:rFonts w:hint="eastAsia" w:eastAsia="仿宋_GB2312"/>
          <w:spacing w:val="20"/>
          <w:sz w:val="32"/>
          <w:szCs w:val="32"/>
          <w:u w:val="single"/>
        </w:rPr>
        <w:t xml:space="preserve">                  </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评价方式：部门（单位）绩效自评</w:t>
      </w:r>
    </w:p>
    <w:p>
      <w:pPr>
        <w:keepNext w:val="0"/>
        <w:keepLines w:val="0"/>
        <w:pageBreakBefore w:val="0"/>
        <w:kinsoku/>
        <w:overflowPunct/>
        <w:topLinePunct w:val="0"/>
        <w:autoSpaceDE/>
        <w:bidi w:val="0"/>
        <w:spacing w:line="560" w:lineRule="exact"/>
        <w:ind w:firstLine="476" w:firstLineChars="150"/>
        <w:rPr>
          <w:rFonts w:hint="eastAsia" w:eastAsia="仿宋_GB2312"/>
          <w:sz w:val="32"/>
          <w:szCs w:val="32"/>
        </w:rPr>
      </w:pPr>
      <w:r>
        <w:rPr>
          <w:rFonts w:hint="eastAsia" w:eastAsia="仿宋_GB2312"/>
          <w:sz w:val="32"/>
          <w:szCs w:val="32"/>
        </w:rPr>
        <w:t xml:space="preserve">评价机构：部门（单位）评价组   </w:t>
      </w: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ind w:firstLine="2188" w:firstLineChars="690"/>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p>
    <w:p>
      <w:pPr>
        <w:keepNext w:val="0"/>
        <w:keepLines w:val="0"/>
        <w:pageBreakBefore w:val="0"/>
        <w:kinsoku/>
        <w:overflowPunct/>
        <w:topLinePunct w:val="0"/>
        <w:autoSpaceDE/>
        <w:bidi w:val="0"/>
        <w:spacing w:line="560" w:lineRule="exact"/>
        <w:jc w:val="center"/>
        <w:rPr>
          <w:rFonts w:hint="eastAsia" w:eastAsia="仿宋_GB2312"/>
          <w:sz w:val="32"/>
        </w:rPr>
      </w:pPr>
      <w:r>
        <w:rPr>
          <w:rFonts w:hint="eastAsia" w:eastAsia="仿宋_GB2312"/>
          <w:sz w:val="32"/>
          <w:lang w:val="en-US" w:eastAsia="zh-CN"/>
        </w:rPr>
        <w:t xml:space="preserve">         </w:t>
      </w:r>
      <w:r>
        <w:rPr>
          <w:rFonts w:hint="eastAsia" w:eastAsia="仿宋_GB2312"/>
          <w:sz w:val="32"/>
        </w:rPr>
        <w:t>报告日期：</w:t>
      </w:r>
      <w:r>
        <w:rPr>
          <w:rFonts w:hint="eastAsia" w:eastAsia="仿宋_GB2312"/>
          <w:sz w:val="32"/>
          <w:lang w:val="en-US" w:eastAsia="zh-CN"/>
        </w:rPr>
        <w:t>2024</w:t>
      </w:r>
      <w:r>
        <w:rPr>
          <w:rFonts w:hint="eastAsia" w:eastAsia="仿宋_GB2312"/>
          <w:sz w:val="32"/>
        </w:rPr>
        <w:t xml:space="preserve"> 年 </w:t>
      </w:r>
      <w:r>
        <w:rPr>
          <w:rFonts w:hint="eastAsia" w:eastAsia="仿宋_GB2312"/>
          <w:sz w:val="32"/>
          <w:lang w:val="en-US" w:eastAsia="zh-CN"/>
        </w:rPr>
        <w:t>5</w:t>
      </w:r>
      <w:r>
        <w:rPr>
          <w:rFonts w:hint="eastAsia" w:eastAsia="仿宋_GB2312"/>
          <w:sz w:val="32"/>
        </w:rPr>
        <w:t xml:space="preserve">  月 </w:t>
      </w:r>
      <w:r>
        <w:rPr>
          <w:rFonts w:hint="eastAsia" w:eastAsia="仿宋_GB2312"/>
          <w:sz w:val="32"/>
          <w:lang w:val="en-US" w:eastAsia="zh-CN"/>
        </w:rPr>
        <w:t>20</w:t>
      </w:r>
      <w:r>
        <w:rPr>
          <w:rFonts w:hint="eastAsia" w:eastAsia="仿宋_GB2312"/>
          <w:sz w:val="32"/>
        </w:rPr>
        <w:t xml:space="preserve">  日</w:t>
      </w:r>
    </w:p>
    <w:p>
      <w:pPr>
        <w:keepNext w:val="0"/>
        <w:keepLines w:val="0"/>
        <w:pageBreakBefore w:val="0"/>
        <w:kinsoku/>
        <w:overflowPunct/>
        <w:topLinePunct w:val="0"/>
        <w:autoSpaceDE/>
        <w:autoSpaceDN w:val="0"/>
        <w:bidi w:val="0"/>
        <w:spacing w:line="560" w:lineRule="exact"/>
        <w:jc w:val="center"/>
        <w:textAlignment w:val="center"/>
        <w:rPr>
          <w:rFonts w:hint="eastAsia" w:eastAsia="仿宋_GB2312"/>
          <w:sz w:val="32"/>
          <w:szCs w:val="32"/>
        </w:rPr>
      </w:pPr>
      <w:r>
        <w:rPr>
          <w:rFonts w:hint="eastAsia" w:eastAsia="仿宋_GB2312"/>
          <w:sz w:val="32"/>
          <w:lang w:val="en-US" w:eastAsia="zh-CN"/>
        </w:rPr>
        <w:t xml:space="preserve">          </w:t>
      </w:r>
      <w:r>
        <w:rPr>
          <w:rFonts w:hint="eastAsia" w:eastAsia="仿宋_GB2312"/>
          <w:sz w:val="32"/>
        </w:rPr>
        <w:t>岳阳市云溪财政</w:t>
      </w:r>
      <w:r>
        <w:rPr>
          <w:rFonts w:hint="eastAsia" w:eastAsia="仿宋_GB2312"/>
          <w:sz w:val="32"/>
          <w:szCs w:val="32"/>
        </w:rPr>
        <w:t>局（制）</w:t>
      </w: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pPr>
    </w:p>
    <w:p>
      <w:pPr>
        <w:pStyle w:val="12"/>
        <w:rPr>
          <w:rFonts w:hint="eastAsia" w:eastAsia="仿宋_GB2312"/>
          <w:sz w:val="32"/>
          <w:szCs w:val="32"/>
        </w:rPr>
        <w:sectPr>
          <w:pgSz w:w="11906" w:h="16838"/>
          <w:pgMar w:top="1588" w:right="1588" w:bottom="1588" w:left="1588" w:header="851" w:footer="992" w:gutter="0"/>
          <w:pgNumType w:start="1"/>
          <w:cols w:space="720" w:num="1"/>
          <w:titlePg/>
          <w:docGrid w:type="linesAndChars" w:linePitch="602" w:charSpace="-782"/>
        </w:sectPr>
      </w:pPr>
    </w:p>
    <w:p/>
    <w:p>
      <w:pPr>
        <w:keepNext w:val="0"/>
        <w:keepLines w:val="0"/>
        <w:pageBreakBefore w:val="0"/>
        <w:widowControl/>
        <w:tabs>
          <w:tab w:val="left" w:pos="3611"/>
          <w:tab w:val="left" w:pos="4791"/>
          <w:tab w:val="left" w:pos="5951"/>
          <w:tab w:val="left" w:pos="7071"/>
          <w:tab w:val="left" w:pos="8191"/>
          <w:tab w:val="left" w:pos="9311"/>
        </w:tabs>
        <w:kinsoku/>
        <w:wordWrap/>
        <w:overflowPunct/>
        <w:topLinePunct w:val="0"/>
        <w:autoSpaceDE/>
        <w:autoSpaceDN/>
        <w:bidi w:val="0"/>
        <w:adjustRightInd/>
        <w:snapToGrid/>
        <w:spacing w:line="480" w:lineRule="exact"/>
        <w:ind w:left="91"/>
        <w:jc w:val="center"/>
        <w:textAlignment w:val="auto"/>
        <w:rPr>
          <w:rFonts w:hint="eastAsia" w:ascii="方正小标宋简体" w:hAnsi="方正小标宋简体" w:eastAsia="方正小标宋简体" w:cs="方正小标宋简体"/>
          <w:color w:val="000000"/>
          <w:kern w:val="0"/>
          <w:sz w:val="36"/>
          <w:szCs w:val="36"/>
          <w:lang w:val="en-US" w:eastAsia="zh-CN"/>
        </w:rPr>
      </w:pPr>
      <w:r>
        <w:rPr>
          <w:rFonts w:hint="eastAsia" w:ascii="方正小标宋简体" w:hAnsi="方正小标宋简体" w:eastAsia="方正小标宋简体" w:cs="方正小标宋简体"/>
          <w:color w:val="000000"/>
          <w:kern w:val="0"/>
          <w:sz w:val="36"/>
          <w:szCs w:val="36"/>
          <w:lang w:val="en-US" w:eastAsia="zh-CN"/>
        </w:rPr>
        <w:t>整体支出绩效自评表</w:t>
      </w:r>
    </w:p>
    <w:tbl>
      <w:tblPr>
        <w:tblStyle w:val="7"/>
        <w:tblW w:w="537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624"/>
        <w:gridCol w:w="856"/>
        <w:gridCol w:w="887"/>
        <w:gridCol w:w="412"/>
        <w:gridCol w:w="913"/>
        <w:gridCol w:w="575"/>
        <w:gridCol w:w="478"/>
        <w:gridCol w:w="672"/>
        <w:gridCol w:w="125"/>
        <w:gridCol w:w="850"/>
        <w:gridCol w:w="700"/>
        <w:gridCol w:w="154"/>
        <w:gridCol w:w="798"/>
        <w:gridCol w:w="1096"/>
        <w:gridCol w:w="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764" w:hRule="atLeast"/>
        </w:trPr>
        <w:tc>
          <w:tcPr>
            <w:tcW w:w="807"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预算部门名称</w:t>
            </w:r>
          </w:p>
        </w:tc>
        <w:tc>
          <w:tcPr>
            <w:tcW w:w="4180" w:type="pct"/>
            <w:gridSpan w:val="1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岳阳市云溪区长岭街道财政所</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480" w:hRule="atLeast"/>
        </w:trPr>
        <w:tc>
          <w:tcPr>
            <w:tcW w:w="807"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i w:val="0"/>
                <w:iCs w:val="0"/>
                <w:color w:val="000000"/>
                <w:kern w:val="0"/>
                <w:sz w:val="20"/>
                <w:szCs w:val="20"/>
                <w:u w:val="none"/>
                <w:lang w:val="en-US" w:eastAsia="zh-CN" w:bidi="ar"/>
              </w:rPr>
              <w:t>年度预算申请</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(万元)</w:t>
            </w:r>
          </w:p>
        </w:tc>
        <w:tc>
          <w:tcPr>
            <w:tcW w:w="708" w:type="pct"/>
            <w:gridSpan w:val="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年初预算数(万元)</w:t>
            </w:r>
          </w:p>
        </w:tc>
        <w:tc>
          <w:tcPr>
            <w:tcW w:w="574" w:type="pct"/>
            <w:gridSpan w:val="2"/>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全年预算数（万元）</w:t>
            </w:r>
          </w:p>
        </w:tc>
        <w:tc>
          <w:tcPr>
            <w:tcW w:w="366" w:type="pc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全年执行数（万元）</w:t>
            </w:r>
          </w:p>
        </w:tc>
        <w:tc>
          <w:tcPr>
            <w:tcW w:w="998"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435"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执行率</w:t>
            </w:r>
          </w:p>
        </w:tc>
        <w:tc>
          <w:tcPr>
            <w:tcW w:w="5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76"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年度资金总额：</w:t>
            </w:r>
          </w:p>
        </w:tc>
        <w:tc>
          <w:tcPr>
            <w:tcW w:w="4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954.91</w:t>
            </w:r>
          </w:p>
        </w:tc>
        <w:tc>
          <w:tcPr>
            <w:tcW w:w="574"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2003.15</w:t>
            </w:r>
          </w:p>
        </w:tc>
        <w:tc>
          <w:tcPr>
            <w:tcW w:w="366"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2003.15</w:t>
            </w:r>
          </w:p>
        </w:tc>
        <w:tc>
          <w:tcPr>
            <w:tcW w:w="998"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435"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100.00%</w:t>
            </w:r>
          </w:p>
        </w:tc>
        <w:tc>
          <w:tcPr>
            <w:tcW w:w="59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34"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2148" w:type="pct"/>
            <w:gridSpan w:val="6"/>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按收入性质分：</w:t>
            </w:r>
          </w:p>
        </w:tc>
        <w:tc>
          <w:tcPr>
            <w:tcW w:w="2031" w:type="pct"/>
            <w:gridSpan w:val="6"/>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按支出性质分：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744"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一般公共预算：</w:t>
            </w:r>
          </w:p>
        </w:tc>
        <w:tc>
          <w:tcPr>
            <w:tcW w:w="1439"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1917.27</w:t>
            </w:r>
          </w:p>
        </w:tc>
        <w:tc>
          <w:tcPr>
            <w:tcW w:w="998" w:type="pct"/>
            <w:gridSpan w:val="4"/>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其中:基本支出：</w:t>
            </w:r>
          </w:p>
        </w:tc>
        <w:tc>
          <w:tcPr>
            <w:tcW w:w="1033"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1284.93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28"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政府性基金拨款：</w:t>
            </w:r>
          </w:p>
        </w:tc>
        <w:tc>
          <w:tcPr>
            <w:tcW w:w="1439"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998" w:type="pct"/>
            <w:gridSpan w:val="4"/>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033"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552"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纳入专户管理的非税收入拨款：</w:t>
            </w:r>
          </w:p>
        </w:tc>
        <w:tc>
          <w:tcPr>
            <w:tcW w:w="1439"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0.00</w:t>
            </w:r>
          </w:p>
        </w:tc>
        <w:tc>
          <w:tcPr>
            <w:tcW w:w="998" w:type="pct"/>
            <w:gridSpan w:val="4"/>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项目支出：</w:t>
            </w:r>
          </w:p>
        </w:tc>
        <w:tc>
          <w:tcPr>
            <w:tcW w:w="1033"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718.22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708"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708" w:type="pct"/>
            <w:gridSpan w:val="2"/>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其他资金</w:t>
            </w:r>
          </w:p>
        </w:tc>
        <w:tc>
          <w:tcPr>
            <w:tcW w:w="1439" w:type="pct"/>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85.88</w:t>
            </w:r>
          </w:p>
        </w:tc>
        <w:tc>
          <w:tcPr>
            <w:tcW w:w="998" w:type="pct"/>
            <w:gridSpan w:val="4"/>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1033"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After w:val="1"/>
          <w:wAfter w:w="11" w:type="pct"/>
          <w:trHeight w:val="672" w:hRule="atLeast"/>
        </w:trPr>
        <w:tc>
          <w:tcPr>
            <w:tcW w:w="807"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年度总体目标</w:t>
            </w:r>
          </w:p>
        </w:tc>
        <w:tc>
          <w:tcPr>
            <w:tcW w:w="2148" w:type="pct"/>
            <w:gridSpan w:val="6"/>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预期目标</w:t>
            </w:r>
          </w:p>
        </w:tc>
        <w:tc>
          <w:tcPr>
            <w:tcW w:w="2031" w:type="pct"/>
            <w:gridSpan w:val="6"/>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gridAfter w:val="1"/>
          <w:wAfter w:w="11" w:type="pct"/>
          <w:trHeight w:val="720" w:hRule="atLeast"/>
        </w:trPr>
        <w:tc>
          <w:tcPr>
            <w:tcW w:w="807"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2148" w:type="pct"/>
            <w:gridSpan w:val="6"/>
            <w:tcBorders>
              <w:tl2br w:val="nil"/>
              <w:tr2bl w:val="nil"/>
            </w:tcBorders>
            <w:shd w:val="clear" w:color="auto" w:fill="auto"/>
            <w:vAlign w:val="center"/>
          </w:tcPr>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1、负责精神文明建设工作，积极组织以提高市民素质为目的的活动，树立文明新风。</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2、负责街道辖区内的城市建设和管理、市容环境卫生等</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3、负责街道辖区的维护稳定及社会治安综合治理工作；负责民事调解、法律服务工作，维护居民合法权益</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4、负责社区建设和管理，积极开展社区服务工作。</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5、发展街道经济，管理街道自有资产和集体资产。</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6、负责计划生育、劳动就业、安全生产管理、控建拆违、民兵、兵役工作</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7、指导和帮助社区搞好组织建设和制度建设，发挥社区的群众自治组织作用。</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8、配好有关部门做好防汛、防风、防火、防震、防灾和抢险工作。</w:t>
            </w:r>
          </w:p>
        </w:tc>
        <w:tc>
          <w:tcPr>
            <w:tcW w:w="2031" w:type="pct"/>
            <w:gridSpan w:val="6"/>
            <w:tcBorders>
              <w:tl2br w:val="nil"/>
              <w:tr2bl w:val="nil"/>
            </w:tcBorders>
            <w:shd w:val="clear" w:color="auto" w:fill="auto"/>
            <w:vAlign w:val="center"/>
          </w:tcPr>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1、负责精神文明建设工作，积极组织以提高市民素质为目的的活动，树立文明新风。</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2、负责街道辖区内的城市建设和管理、市容环境卫生等</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3、负责街道辖区的维护稳定及社会治安综合治理工作；负责民事调解、法律服务工作，维护居民合法权益</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4、负责社区建设和管理，积极开展社区服务工作。</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5、发展街道经济，管理街道自有资产和集体资产。</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6、负责计划生育、劳动就业、安全生产管理、控建拆违、民兵、兵役工作</w:t>
            </w:r>
          </w:p>
          <w:p>
            <w:pPr>
              <w:keepNext w:val="0"/>
              <w:keepLines w:val="0"/>
              <w:widowControl/>
              <w:suppressLineNumbers w:val="0"/>
              <w:jc w:val="center"/>
              <w:textAlignment w:val="center"/>
              <w:rPr>
                <w:rFonts w:hint="eastAsia"/>
                <w:lang w:val="en-US" w:eastAsia="zh-CN"/>
              </w:rPr>
            </w:pPr>
            <w:r>
              <w:rPr>
                <w:rFonts w:hint="eastAsia" w:ascii="仿宋_GB2312" w:hAnsi="仿宋_GB2312" w:eastAsia="仿宋_GB2312" w:cs="仿宋_GB2312"/>
                <w:i w:val="0"/>
                <w:iCs w:val="0"/>
                <w:color w:val="000000"/>
                <w:kern w:val="0"/>
                <w:sz w:val="20"/>
                <w:szCs w:val="20"/>
                <w:u w:val="none"/>
                <w:lang w:val="en-US" w:eastAsia="zh-CN" w:bidi="ar"/>
              </w:rPr>
              <w:t>7、指导和帮助社区搞好组织建设和制度建设，发挥社区的群众自治组织作用。</w:t>
            </w:r>
          </w:p>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8、配好有关部门做好防汛、防风、防火、防震、防灾和抢险工作。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trPr>
        <w:tc>
          <w:tcPr>
            <w:tcW w:w="340"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绩效指标</w:t>
            </w:r>
          </w:p>
        </w:tc>
        <w:tc>
          <w:tcPr>
            <w:tcW w:w="467"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一级指标</w:t>
            </w:r>
          </w:p>
        </w:tc>
        <w:tc>
          <w:tcPr>
            <w:tcW w:w="484" w:type="pct"/>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二级指标</w:t>
            </w:r>
          </w:p>
        </w:tc>
        <w:tc>
          <w:tcPr>
            <w:tcW w:w="1037"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三级指标</w:t>
            </w:r>
          </w:p>
        </w:tc>
        <w:tc>
          <w:tcPr>
            <w:tcW w:w="695" w:type="pct"/>
            <w:gridSpan w:val="3"/>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年度指标值</w:t>
            </w:r>
            <w:bookmarkStart w:id="0" w:name="_GoBack"/>
            <w:bookmarkEnd w:id="0"/>
          </w:p>
        </w:tc>
        <w:tc>
          <w:tcPr>
            <w:tcW w:w="463"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实际完成值</w:t>
            </w:r>
          </w:p>
        </w:tc>
        <w:tc>
          <w:tcPr>
            <w:tcW w:w="382" w:type="pct"/>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分值</w:t>
            </w:r>
          </w:p>
        </w:tc>
        <w:tc>
          <w:tcPr>
            <w:tcW w:w="519" w:type="pct"/>
            <w:gridSpan w:val="2"/>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得分</w:t>
            </w:r>
          </w:p>
        </w:tc>
        <w:tc>
          <w:tcPr>
            <w:tcW w:w="609" w:type="pct"/>
            <w:gridSpan w:val="2"/>
            <w:vMerge w:val="restart"/>
            <w:tcBorders>
              <w:tl2br w:val="nil"/>
              <w:tr2bl w:val="nil"/>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b/>
                <w:bCs/>
                <w:i w:val="0"/>
                <w:iCs w:val="0"/>
                <w:color w:val="000000"/>
                <w:sz w:val="20"/>
                <w:szCs w:val="20"/>
                <w:u w:val="none"/>
              </w:rPr>
            </w:pPr>
            <w:r>
              <w:rPr>
                <w:rFonts w:hint="eastAsia" w:ascii="仿宋_GB2312" w:hAnsi="仿宋_GB2312" w:eastAsia="仿宋_GB2312" w:cs="仿宋_GB2312"/>
                <w:b/>
                <w:bCs/>
                <w:i w:val="0"/>
                <w:iCs w:val="0"/>
                <w:color w:val="000000"/>
                <w:kern w:val="0"/>
                <w:sz w:val="20"/>
                <w:szCs w:val="20"/>
                <w:u w:val="none"/>
                <w:lang w:val="en-US" w:eastAsia="zh-CN" w:bidi="ar"/>
              </w:rPr>
              <w:t>偏差原因分析及改进措施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340"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67"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84" w:type="pct"/>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c>
          <w:tcPr>
            <w:tcW w:w="1037"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695" w:type="pct"/>
            <w:gridSpan w:val="3"/>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463"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382" w:type="pct"/>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519" w:type="pct"/>
            <w:gridSpan w:val="2"/>
            <w:vMerge w:val="continue"/>
            <w:tcBorders>
              <w:tl2br w:val="nil"/>
              <w:tr2bl w:val="nil"/>
            </w:tcBorders>
            <w:shd w:val="clear" w:color="auto" w:fill="auto"/>
            <w:vAlign w:val="center"/>
          </w:tcPr>
          <w:p>
            <w:pPr>
              <w:jc w:val="center"/>
              <w:rPr>
                <w:rFonts w:hint="eastAsia" w:ascii="仿宋_GB2312" w:hAnsi="仿宋_GB2312" w:eastAsia="仿宋_GB2312" w:cs="仿宋_GB2312"/>
                <w:b/>
                <w:bCs/>
                <w:i w:val="0"/>
                <w:iCs w:val="0"/>
                <w:color w:val="000000"/>
                <w:sz w:val="20"/>
                <w:szCs w:val="20"/>
                <w:u w:val="none"/>
              </w:rPr>
            </w:pPr>
          </w:p>
        </w:tc>
        <w:tc>
          <w:tcPr>
            <w:tcW w:w="609" w:type="pct"/>
            <w:gridSpan w:val="2"/>
            <w:vMerge w:val="continue"/>
            <w:tcBorders>
              <w:tl2br w:val="nil"/>
              <w:tr2bl w:val="nil"/>
            </w:tcBorders>
            <w:shd w:val="clear" w:color="auto" w:fill="auto"/>
            <w:noWrap/>
            <w:vAlign w:val="center"/>
          </w:tcPr>
          <w:p>
            <w:pPr>
              <w:jc w:val="center"/>
              <w:rPr>
                <w:rFonts w:hint="eastAsia" w:ascii="仿宋_GB2312" w:hAnsi="仿宋_GB2312" w:eastAsia="仿宋_GB2312" w:cs="仿宋_GB2312"/>
                <w:b/>
                <w:bCs/>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restart"/>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绩效指标</w:t>
            </w:r>
          </w:p>
        </w:tc>
        <w:tc>
          <w:tcPr>
            <w:tcW w:w="467"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产出指标</w:t>
            </w:r>
          </w:p>
        </w:tc>
        <w:tc>
          <w:tcPr>
            <w:tcW w:w="484"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数量指标</w:t>
            </w: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征地拆迁房屋栋数</w:t>
            </w:r>
          </w:p>
        </w:tc>
        <w:tc>
          <w:tcPr>
            <w:tcW w:w="695"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721栋</w:t>
            </w:r>
          </w:p>
        </w:tc>
        <w:tc>
          <w:tcPr>
            <w:tcW w:w="46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721栋</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519" w:type="pct"/>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增设停车位个数</w:t>
            </w:r>
          </w:p>
        </w:tc>
        <w:tc>
          <w:tcPr>
            <w:tcW w:w="695"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152个</w:t>
            </w:r>
          </w:p>
        </w:tc>
        <w:tc>
          <w:tcPr>
            <w:tcW w:w="46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152个</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519" w:type="pct"/>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厕所改造户数</w:t>
            </w:r>
          </w:p>
        </w:tc>
        <w:tc>
          <w:tcPr>
            <w:tcW w:w="695"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22户</w:t>
            </w:r>
          </w:p>
        </w:tc>
        <w:tc>
          <w:tcPr>
            <w:tcW w:w="46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22户</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519" w:type="pct"/>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组建文化活动队伍数</w:t>
            </w:r>
          </w:p>
        </w:tc>
        <w:tc>
          <w:tcPr>
            <w:tcW w:w="695"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18支</w:t>
            </w:r>
          </w:p>
        </w:tc>
        <w:tc>
          <w:tcPr>
            <w:tcW w:w="46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18支</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519" w:type="pct"/>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质量指标</w:t>
            </w: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验收合格率</w:t>
            </w:r>
          </w:p>
        </w:tc>
        <w:tc>
          <w:tcPr>
            <w:tcW w:w="695"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w:t>
            </w:r>
          </w:p>
        </w:tc>
        <w:tc>
          <w:tcPr>
            <w:tcW w:w="46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519" w:type="pct"/>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时效指标</w:t>
            </w: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验收及时率</w:t>
            </w:r>
          </w:p>
        </w:tc>
        <w:tc>
          <w:tcPr>
            <w:tcW w:w="695"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w:t>
            </w:r>
          </w:p>
        </w:tc>
        <w:tc>
          <w:tcPr>
            <w:tcW w:w="46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100%</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519" w:type="pct"/>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效益指标</w:t>
            </w: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经济效益指标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9"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社会效益指标</w:t>
            </w: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丰富群众精神文化生活</w:t>
            </w:r>
          </w:p>
        </w:tc>
        <w:tc>
          <w:tcPr>
            <w:tcW w:w="695"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丰富</w:t>
            </w:r>
          </w:p>
        </w:tc>
        <w:tc>
          <w:tcPr>
            <w:tcW w:w="46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丰富</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519" w:type="pct"/>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生态效益指标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9"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可持续影响指标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9"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满意度指标</w:t>
            </w: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服务对象满意度指标</w:t>
            </w: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群众满意度</w:t>
            </w:r>
          </w:p>
        </w:tc>
        <w:tc>
          <w:tcPr>
            <w:tcW w:w="695"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≥90%</w:t>
            </w:r>
          </w:p>
        </w:tc>
        <w:tc>
          <w:tcPr>
            <w:tcW w:w="46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94%</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519" w:type="pct"/>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restar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成本指标</w:t>
            </w: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经济成本指标</w:t>
            </w:r>
          </w:p>
        </w:tc>
        <w:tc>
          <w:tcPr>
            <w:tcW w:w="1037"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部门预算支出金额</w:t>
            </w:r>
          </w:p>
        </w:tc>
        <w:tc>
          <w:tcPr>
            <w:tcW w:w="695"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≤2003.15万元</w:t>
            </w:r>
          </w:p>
        </w:tc>
        <w:tc>
          <w:tcPr>
            <w:tcW w:w="463"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2003.15万元</w:t>
            </w:r>
          </w:p>
        </w:tc>
        <w:tc>
          <w:tcPr>
            <w:tcW w:w="38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519" w:type="pct"/>
            <w:gridSpan w:val="2"/>
            <w:tcBorders>
              <w:tl2br w:val="nil"/>
              <w:tr2bl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10</w:t>
            </w: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社会成本指标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9"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340" w:type="pct"/>
            <w:vMerge w:val="continue"/>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467" w:type="pct"/>
            <w:vMerge w:val="continue"/>
            <w:tcBorders>
              <w:tl2br w:val="nil"/>
              <w:tr2bl w:val="nil"/>
            </w:tcBorders>
            <w:shd w:val="clear" w:color="auto" w:fill="auto"/>
            <w:noWrap/>
            <w:vAlign w:val="center"/>
          </w:tcPr>
          <w:p>
            <w:pPr>
              <w:rPr>
                <w:rFonts w:hint="eastAsia" w:ascii="仿宋_GB2312" w:hAnsi="仿宋_GB2312" w:eastAsia="仿宋_GB2312" w:cs="仿宋_GB2312"/>
                <w:i w:val="0"/>
                <w:iCs w:val="0"/>
                <w:color w:val="000000"/>
                <w:sz w:val="20"/>
                <w:szCs w:val="20"/>
                <w:u w:val="none"/>
              </w:rPr>
            </w:pPr>
          </w:p>
        </w:tc>
        <w:tc>
          <w:tcPr>
            <w:tcW w:w="484" w:type="pct"/>
            <w:tcBorders>
              <w:tl2br w:val="nil"/>
              <w:tr2bl w:val="nil"/>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sz w:val="20"/>
                <w:szCs w:val="20"/>
                <w:u w:val="none"/>
              </w:rPr>
            </w:pPr>
            <w:r>
              <w:rPr>
                <w:rFonts w:hint="eastAsia" w:ascii="仿宋_GB2312" w:hAnsi="仿宋_GB2312" w:eastAsia="仿宋_GB2312" w:cs="仿宋_GB2312"/>
                <w:i w:val="0"/>
                <w:iCs w:val="0"/>
                <w:color w:val="000000"/>
                <w:kern w:val="0"/>
                <w:sz w:val="20"/>
                <w:szCs w:val="20"/>
                <w:u w:val="none"/>
                <w:lang w:val="en-US" w:eastAsia="zh-CN" w:bidi="ar"/>
              </w:rPr>
              <w:t>生态环境成本指标</w:t>
            </w:r>
          </w:p>
        </w:tc>
        <w:tc>
          <w:tcPr>
            <w:tcW w:w="1037"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695" w:type="pct"/>
            <w:gridSpan w:val="3"/>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463"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382" w:type="pct"/>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c>
          <w:tcPr>
            <w:tcW w:w="519" w:type="pct"/>
            <w:gridSpan w:val="2"/>
            <w:tcBorders>
              <w:tl2br w:val="nil"/>
              <w:tr2bl w:val="nil"/>
            </w:tcBorders>
            <w:shd w:val="clear" w:color="auto" w:fill="auto"/>
            <w:vAlign w:val="center"/>
          </w:tcPr>
          <w:p>
            <w:pPr>
              <w:rPr>
                <w:rFonts w:hint="eastAsia" w:ascii="仿宋_GB2312" w:hAnsi="仿宋_GB2312" w:eastAsia="仿宋_GB2312" w:cs="仿宋_GB2312"/>
                <w:i w:val="0"/>
                <w:iCs w:val="0"/>
                <w:color w:val="000000"/>
                <w:sz w:val="20"/>
                <w:szCs w:val="20"/>
                <w:u w:val="none"/>
              </w:rPr>
            </w:pPr>
          </w:p>
        </w:tc>
        <w:tc>
          <w:tcPr>
            <w:tcW w:w="609" w:type="pct"/>
            <w:gridSpan w:val="2"/>
            <w:tcBorders>
              <w:tl2br w:val="nil"/>
              <w:tr2bl w:val="nil"/>
            </w:tcBorders>
            <w:shd w:val="clear" w:color="auto" w:fill="auto"/>
            <w:noWrap/>
            <w:vAlign w:val="center"/>
          </w:tcPr>
          <w:p>
            <w:pPr>
              <w:jc w:val="center"/>
              <w:rPr>
                <w:rFonts w:hint="eastAsia" w:ascii="仿宋_GB2312" w:hAnsi="仿宋_GB2312" w:eastAsia="仿宋_GB2312" w:cs="仿宋_GB2312"/>
                <w:i w:val="0"/>
                <w:iCs w:val="0"/>
                <w:color w:val="000000"/>
                <w:sz w:val="20"/>
                <w:szCs w:val="20"/>
                <w:u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29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绩效自评综合得分</w:t>
            </w:r>
          </w:p>
        </w:tc>
        <w:tc>
          <w:tcPr>
            <w:tcW w:w="3708" w:type="pct"/>
            <w:gridSpan w:val="12"/>
            <w:tcBorders>
              <w:tl2br w:val="nil"/>
              <w:tr2bl w:val="nil"/>
            </w:tcBorders>
            <w:shd w:val="clear" w:color="auto" w:fill="auto"/>
            <w:vAlign w:val="center"/>
          </w:tcPr>
          <w:p>
            <w:pPr>
              <w:jc w:val="center"/>
              <w:rPr>
                <w:rFonts w:hint="default" w:ascii="仿宋_GB2312" w:hAnsi="仿宋_GB2312" w:eastAsia="仿宋_GB2312" w:cs="仿宋_GB2312"/>
                <w:i w:val="0"/>
                <w:iCs w:val="0"/>
                <w:color w:val="000000"/>
                <w:sz w:val="20"/>
                <w:szCs w:val="20"/>
                <w:u w:val="none"/>
                <w:lang w:val="en-US" w:eastAsia="zh-CN"/>
              </w:rPr>
            </w:pPr>
            <w:r>
              <w:rPr>
                <w:rFonts w:hint="eastAsia" w:ascii="仿宋_GB2312" w:hAnsi="仿宋_GB2312" w:eastAsia="仿宋_GB2312" w:cs="仿宋_GB2312"/>
                <w:i w:val="0"/>
                <w:iCs w:val="0"/>
                <w:color w:val="000000"/>
                <w:sz w:val="20"/>
                <w:szCs w:val="20"/>
                <w:u w:val="none"/>
                <w:lang w:val="en-US" w:eastAsia="zh-CN"/>
              </w:rPr>
              <w:t>100分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1291" w:type="pct"/>
            <w:gridSpan w:val="3"/>
            <w:tcBorders>
              <w:tl2br w:val="nil"/>
              <w:tr2bl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0"/>
                <w:szCs w:val="20"/>
                <w:u w:val="none"/>
                <w:lang w:val="en-US" w:eastAsia="zh-CN" w:bidi="ar"/>
              </w:rPr>
            </w:pPr>
            <w:r>
              <w:rPr>
                <w:rFonts w:hint="eastAsia" w:ascii="仿宋_GB2312" w:hAnsi="仿宋_GB2312" w:eastAsia="仿宋_GB2312" w:cs="仿宋_GB2312"/>
                <w:color w:val="000000"/>
                <w:sz w:val="18"/>
                <w:szCs w:val="18"/>
              </w:rPr>
              <w:t>评价等次</w:t>
            </w:r>
          </w:p>
        </w:tc>
        <w:tc>
          <w:tcPr>
            <w:tcW w:w="3708" w:type="pct"/>
            <w:gridSpan w:val="12"/>
            <w:tcBorders>
              <w:tl2br w:val="nil"/>
              <w:tr2bl w:val="nil"/>
            </w:tcBorders>
            <w:shd w:val="clear" w:color="auto" w:fill="auto"/>
            <w:vAlign w:val="center"/>
          </w:tcPr>
          <w:p>
            <w:pPr>
              <w:jc w:val="center"/>
              <w:rPr>
                <w:rFonts w:hint="eastAsia" w:ascii="仿宋_GB2312" w:hAnsi="仿宋_GB2312" w:eastAsia="仿宋_GB2312" w:cs="仿宋_GB2312"/>
                <w:i w:val="0"/>
                <w:iCs w:val="0"/>
                <w:color w:val="000000"/>
                <w:sz w:val="20"/>
                <w:szCs w:val="20"/>
                <w:u w:val="none"/>
              </w:rPr>
            </w:pPr>
          </w:p>
        </w:tc>
      </w:tr>
    </w:tbl>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p>
      <w:pPr>
        <w:pStyle w:val="10"/>
      </w:pPr>
    </w:p>
    <w:tbl>
      <w:tblPr>
        <w:tblStyle w:val="7"/>
        <w:tblW w:w="9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5" w:type="dxa"/>
          <w:bottom w:w="0" w:type="dxa"/>
          <w:right w:w="15" w:type="dxa"/>
        </w:tblCellMar>
      </w:tblPr>
      <w:tblGrid>
        <w:gridCol w:w="1654"/>
        <w:gridCol w:w="3561"/>
        <w:gridCol w:w="1479"/>
        <w:gridCol w:w="310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黑体" w:hAnsi="黑体" w:eastAsia="黑体" w:cs="黑体"/>
                <w:color w:val="000000"/>
                <w:sz w:val="28"/>
                <w:szCs w:val="28"/>
              </w:rPr>
              <w:t>四、评价人员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567"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姓  名</w:t>
            </w: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职务/职称</w:t>
            </w: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单  位</w:t>
            </w: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签  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680" w:hRule="atLeast"/>
          <w:jc w:val="center"/>
        </w:trPr>
        <w:tc>
          <w:tcPr>
            <w:tcW w:w="1654"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561"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1479"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c>
          <w:tcPr>
            <w:tcW w:w="3106" w:type="dxa"/>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center"/>
              <w:textAlignment w:val="center"/>
              <w:rPr>
                <w:rFonts w:hint="eastAsia" w:ascii="仿宋_GB2312" w:hAnsi="仿宋_GB2312" w:eastAsia="仿宋_GB2312" w:cs="仿宋_GB2312"/>
                <w:color w:val="000000"/>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46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评价组组长（签字）：</w:t>
            </w: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napToGrid/>
              <w:spacing w:line="30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190" w:hRule="atLeast"/>
          <w:jc w:val="center"/>
        </w:trPr>
        <w:tc>
          <w:tcPr>
            <w:tcW w:w="9800" w:type="dxa"/>
            <w:gridSpan w:val="4"/>
            <w:noWrap w:val="0"/>
            <w:vAlign w:val="center"/>
          </w:tcPr>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部门（单位）意见：</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部门（单位）负责人（签章）：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ascii="仿宋_GB2312" w:hAnsi="仿宋_GB2312" w:eastAsia="仿宋_GB2312" w:cs="仿宋_GB2312"/>
                <w:color w:val="000000"/>
                <w:sz w:val="24"/>
              </w:rPr>
              <w:t xml:space="preserve">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5" w:type="dxa"/>
            <w:bottom w:w="0" w:type="dxa"/>
            <w:right w:w="15" w:type="dxa"/>
          </w:tblCellMar>
        </w:tblPrEx>
        <w:trPr>
          <w:trHeight w:val="2560" w:hRule="atLeast"/>
          <w:jc w:val="center"/>
        </w:trPr>
        <w:tc>
          <w:tcPr>
            <w:tcW w:w="9800" w:type="dxa"/>
            <w:gridSpan w:val="4"/>
            <w:noWrap w:val="0"/>
            <w:vAlign w:val="center"/>
          </w:tcPr>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财政部门归口业务股室意见：</w:t>
            </w: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p>
          <w:p>
            <w:pPr>
              <w:keepNext w:val="0"/>
              <w:keepLines w:val="0"/>
              <w:pageBreakBefore w:val="0"/>
              <w:widowControl w:val="0"/>
              <w:kinsoku/>
              <w:wordWrap/>
              <w:overflowPunct/>
              <w:topLinePunct w:val="0"/>
              <w:autoSpaceDE/>
              <w:bidi w:val="0"/>
              <w:adjustRightInd/>
              <w:spacing w:line="560" w:lineRule="exact"/>
              <w:rPr>
                <w:rFonts w:hint="eastAsia" w:eastAsia="仿宋_GB2312"/>
                <w:sz w:val="24"/>
              </w:rPr>
            </w:pPr>
            <w:r>
              <w:rPr>
                <w:rFonts w:hint="eastAsia" w:eastAsia="仿宋_GB2312"/>
                <w:sz w:val="24"/>
              </w:rPr>
              <w:t xml:space="preserve">                                  财政部门归口业务股室负责人（签章）：</w:t>
            </w:r>
          </w:p>
          <w:p>
            <w:pPr>
              <w:keepNext w:val="0"/>
              <w:keepLines w:val="0"/>
              <w:pageBreakBefore w:val="0"/>
              <w:widowControl w:val="0"/>
              <w:kinsoku/>
              <w:wordWrap/>
              <w:overflowPunct/>
              <w:topLinePunct w:val="0"/>
              <w:autoSpaceDE/>
              <w:autoSpaceDN w:val="0"/>
              <w:bidi w:val="0"/>
              <w:adjustRightInd/>
              <w:spacing w:line="560" w:lineRule="exact"/>
              <w:jc w:val="left"/>
              <w:textAlignment w:val="center"/>
              <w:rPr>
                <w:rFonts w:hint="eastAsia" w:ascii="仿宋_GB2312" w:hAnsi="仿宋_GB2312" w:eastAsia="仿宋_GB2312" w:cs="仿宋_GB2312"/>
                <w:color w:val="000000"/>
                <w:sz w:val="24"/>
              </w:rPr>
            </w:pPr>
            <w:r>
              <w:rPr>
                <w:rFonts w:hint="eastAsia" w:eastAsia="仿宋_GB2312"/>
                <w:sz w:val="24"/>
              </w:rPr>
              <w:t xml:space="preserve">                                                                 年    月   日</w:t>
            </w:r>
          </w:p>
        </w:tc>
      </w:tr>
    </w:tbl>
    <w:p>
      <w:pPr>
        <w:pStyle w:val="10"/>
        <w:sectPr>
          <w:pgSz w:w="11906" w:h="16838"/>
          <w:pgMar w:top="1440" w:right="1800" w:bottom="1440" w:left="1800" w:header="851" w:footer="992" w:gutter="0"/>
          <w:cols w:space="425" w:num="1"/>
          <w:docGrid w:type="lines" w:linePitch="312" w:charSpace="0"/>
        </w:sectPr>
      </w:pPr>
      <w:r>
        <w:rPr>
          <w:rFonts w:hint="eastAsia" w:eastAsia="仿宋_GB2312" w:cs="仿宋_GB2312"/>
          <w:bCs/>
          <w:sz w:val="28"/>
          <w:szCs w:val="28"/>
        </w:rPr>
        <w:t>填报人（签名）：                          联系电话：</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both"/>
        <w:rPr>
          <w:rFonts w:hint="default" w:ascii="方正小标宋_GBK" w:hAnsi="方正小标宋_GBK" w:eastAsia="方正小标宋_GBK" w:cs="方正小标宋_GBK"/>
          <w:i w:val="0"/>
          <w:iCs w:val="0"/>
          <w:caps w:val="0"/>
          <w:color w:val="000000"/>
          <w:spacing w:val="0"/>
          <w:sz w:val="32"/>
          <w:szCs w:val="32"/>
          <w:shd w:val="clear" w:fill="FFFFFF"/>
          <w:lang w:val="en-US" w:eastAsia="zh-CN"/>
        </w:rPr>
      </w:pPr>
      <w:r>
        <w:rPr>
          <w:rFonts w:hint="eastAsia" w:ascii="方正小标宋_GBK" w:hAnsi="方正小标宋_GBK" w:eastAsia="方正小标宋_GBK" w:cs="方正小标宋_GBK"/>
          <w:i w:val="0"/>
          <w:iCs w:val="0"/>
          <w:caps w:val="0"/>
          <w:color w:val="000000"/>
          <w:spacing w:val="0"/>
          <w:sz w:val="32"/>
          <w:szCs w:val="32"/>
          <w:shd w:val="clear" w:fill="FFFFFF"/>
          <w:lang w:val="en-US" w:eastAsia="zh-CN"/>
        </w:rPr>
        <w:t>附件1</w:t>
      </w:r>
    </w:p>
    <w:p>
      <w:pPr>
        <w:spacing w:line="540" w:lineRule="exact"/>
        <w:jc w:val="cente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pPr>
      <w:r>
        <w:rPr>
          <w:rFonts w:hint="eastAsia" w:ascii="方正小标宋_GBK" w:hAnsi="方正小标宋_GBK" w:eastAsia="方正小标宋_GBK" w:cs="方正小标宋_GBK"/>
          <w:b/>
          <w:bCs/>
          <w:i w:val="0"/>
          <w:iCs w:val="0"/>
          <w:caps w:val="0"/>
          <w:color w:val="000000"/>
          <w:spacing w:val="0"/>
          <w:kern w:val="0"/>
          <w:sz w:val="44"/>
          <w:szCs w:val="44"/>
          <w:shd w:val="clear" w:fill="FFFFFF"/>
          <w:lang w:val="en-US" w:eastAsia="zh-CN" w:bidi="ar"/>
        </w:rPr>
        <w:t>岳阳市云溪区长岭街道办事处</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0" w:right="0" w:firstLine="0"/>
        <w:jc w:val="center"/>
        <w:textAlignment w:val="auto"/>
        <w:rPr>
          <w:rFonts w:ascii="方正小标宋_GBK" w:hAnsi="方正小标宋_GBK" w:eastAsia="方正小标宋_GBK" w:cs="方正小标宋_GBK"/>
          <w:b w:val="0"/>
          <w:bCs w:val="0"/>
          <w:i w:val="0"/>
          <w:iCs w:val="0"/>
          <w:caps w:val="0"/>
          <w:color w:val="000000"/>
          <w:spacing w:val="0"/>
          <w:sz w:val="44"/>
          <w:szCs w:val="44"/>
        </w:rPr>
      </w:pPr>
      <w:r>
        <w:rPr>
          <w:rFonts w:hint="eastAsia" w:ascii="方正小标宋_GBK" w:hAnsi="方正小标宋_GBK" w:eastAsia="方正小标宋_GBK" w:cs="方正小标宋_GBK"/>
          <w:b w:val="0"/>
          <w:bCs w:val="0"/>
          <w:i w:val="0"/>
          <w:iCs w:val="0"/>
          <w:caps w:val="0"/>
          <w:color w:val="000000"/>
          <w:spacing w:val="0"/>
          <w:sz w:val="44"/>
          <w:szCs w:val="44"/>
          <w:shd w:val="clear" w:fill="FFFFFF"/>
        </w:rPr>
        <w:t>部门整体支出绩效自评报告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0" w:right="0" w:firstLine="0"/>
        <w:jc w:val="center"/>
        <w:textAlignment w:val="auto"/>
        <w:rPr>
          <w:rFonts w:ascii="仿宋_GB2312" w:eastAsia="仿宋_GB2312" w:cs="仿宋_GB2312"/>
          <w:i w:val="0"/>
          <w:iCs w:val="0"/>
          <w:caps w:val="0"/>
          <w:color w:val="000000"/>
          <w:spacing w:val="0"/>
          <w:sz w:val="24"/>
          <w:szCs w:val="24"/>
        </w:rPr>
      </w:pPr>
    </w:p>
    <w:p>
      <w:pPr>
        <w:pStyle w:val="2"/>
        <w:bidi w:val="0"/>
        <w:rPr>
          <w:rFonts w:hint="eastAsia"/>
        </w:rPr>
      </w:pPr>
      <w:r>
        <w:rPr>
          <w:rFonts w:hint="eastAsia"/>
        </w:rPr>
        <w:t>一、部门（单位）概况</w:t>
      </w:r>
    </w:p>
    <w:p>
      <w:pPr>
        <w:pStyle w:val="3"/>
        <w:bidi w:val="0"/>
        <w:rPr>
          <w:rFonts w:hint="default"/>
        </w:rPr>
      </w:pPr>
      <w:r>
        <w:rPr>
          <w:rFonts w:hint="default"/>
        </w:rPr>
        <w:t>（一）机构设置情况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楷体_GB2312" w:eastAsia="楷体_GB2312" w:cs="楷体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内设机构和人员编制规定</w:t>
      </w:r>
      <w:r>
        <w:rPr>
          <w:rFonts w:hint="eastAsia" w:ascii="仿宋_GB2312" w:hAnsi="仿宋_GB2312" w:eastAsia="仿宋_GB2312" w:cs="仿宋_GB2312"/>
          <w:i w:val="0"/>
          <w:iCs w:val="0"/>
          <w:caps w:val="0"/>
          <w:color w:val="auto"/>
          <w:spacing w:val="0"/>
          <w:sz w:val="32"/>
          <w:szCs w:val="32"/>
          <w:shd w:val="clear" w:color="auto" w:fill="FFFFFF"/>
          <w:lang w:val="en-US" w:eastAsia="zh-CN"/>
        </w:rPr>
        <w:t>，设有4个职能办公室（党政综合办公室、党建办公室、政务办公室、平安建设办公室），9个站所及事务中心（财政所、农村经营事务中心、协调办、社会事务综合服务中心、退役军人服务站、城乡事务中心、控违拆违治违事务中心、综合行政执法大队、农业综合服务中心）</w:t>
      </w:r>
      <w:r>
        <w:rPr>
          <w:rFonts w:hint="eastAsia" w:ascii="仿宋_GB2312" w:hAnsi="仿宋_GB2312" w:eastAsia="仿宋_GB2312" w:cs="仿宋_GB2312"/>
          <w:sz w:val="32"/>
          <w:szCs w:val="32"/>
          <w:lang w:eastAsia="zh-CN"/>
        </w:rPr>
        <w:t>。</w:t>
      </w:r>
    </w:p>
    <w:p>
      <w:pPr>
        <w:pStyle w:val="3"/>
        <w:bidi w:val="0"/>
        <w:rPr>
          <w:rFonts w:hint="default"/>
        </w:rPr>
      </w:pPr>
      <w:r>
        <w:rPr>
          <w:rFonts w:hint="eastAsia"/>
          <w:lang w:eastAsia="zh-CN"/>
        </w:rPr>
        <w:t>（</w:t>
      </w:r>
      <w:r>
        <w:rPr>
          <w:rFonts w:hint="eastAsia"/>
          <w:lang w:val="en-US" w:eastAsia="zh-CN"/>
        </w:rPr>
        <w:t>二</w:t>
      </w:r>
      <w:r>
        <w:rPr>
          <w:rFonts w:hint="eastAsia"/>
          <w:lang w:eastAsia="zh-CN"/>
        </w:rPr>
        <w:t>）</w:t>
      </w:r>
      <w:r>
        <w:rPr>
          <w:rFonts w:hint="default"/>
        </w:rPr>
        <w:t>人员编制情况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街道现实有事业编人员78人，其中行政人员22人，事业人员36人，自收自支人员20人。</w:t>
      </w:r>
    </w:p>
    <w:p>
      <w:pPr>
        <w:pStyle w:val="3"/>
        <w:bidi w:val="0"/>
        <w:rPr>
          <w:rFonts w:hint="default"/>
        </w:rPr>
      </w:pPr>
      <w:r>
        <w:rPr>
          <w:rFonts w:hint="eastAsia"/>
          <w:lang w:eastAsia="zh-CN"/>
        </w:rPr>
        <w:t>（</w:t>
      </w:r>
      <w:r>
        <w:rPr>
          <w:rFonts w:hint="eastAsia"/>
          <w:lang w:val="en-US" w:eastAsia="zh-CN"/>
        </w:rPr>
        <w:t>三</w:t>
      </w:r>
      <w:r>
        <w:rPr>
          <w:rFonts w:hint="eastAsia"/>
          <w:lang w:eastAsia="zh-CN"/>
        </w:rPr>
        <w:t>）</w:t>
      </w:r>
      <w:r>
        <w:rPr>
          <w:rFonts w:hint="default"/>
        </w:rPr>
        <w:t>主要职能职责</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1、负责精神文明建设工作，积极组织以提高市民质素为目的的活动，树立文明新风。</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2、按照职责范围，负责街道辖区内的城市建设和管理、市容环境卫生、园林绿化、环境保护、市政、房地产等监督、管理、服务工作。</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3、负责街道辖区内的维护稳定及社会治安综合治理工作，依照有关规定做好出租屋和外来暂住人员的管理工作；负责民事调解，法律服务工作，维护居民的合法权益。</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4、负责社区建设和管理，积极开展社区服务工作，大力兴办社区福利事业，发动和组织社区成员开展各类社区公益活动；负责拥军优属、优抚安置、社会救济、社会福利、社区文化、科普、体育、教育等工作。</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5、发展街道经济，管理街道自有国有资产和集体资产，为街道经济组织提供人才、科技、信息和各种服务，以经济、法律和必要的行政手段推动街道经济发展和维护市场经济秩序。</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6、负责计划生育、劳动就业、安全生产管理、控建拆违、民兵、兵役等工作。</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7、指导和帮助社区搞好组织建设和制度建设，发挥社区的群众自治组织作用。</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8、配合有关部门做好防汛、防风、防火、防震、防灾和抢险工作。</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9、向区人民政府反映居民群众的意见和要求，办理人民群众来信来访事项。</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leftChars="0" w:right="0" w:rightChars="0"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default" w:ascii="仿宋_GB2312" w:hAnsi="仿宋_GB2312" w:eastAsia="仿宋_GB2312" w:cs="仿宋_GB2312"/>
          <w:b w:val="0"/>
          <w:bCs w:val="0"/>
          <w:color w:val="auto"/>
          <w:kern w:val="2"/>
          <w:sz w:val="32"/>
          <w:szCs w:val="32"/>
          <w:lang w:val="en-US" w:eastAsia="zh-CN" w:bidi="ar-SA"/>
        </w:rPr>
        <w:t>10、承办区委、区政府和上级部门交办的其他事项。</w:t>
      </w:r>
    </w:p>
    <w:p>
      <w:pPr>
        <w:pStyle w:val="3"/>
        <w:bidi w:val="0"/>
        <w:rPr>
          <w:rFonts w:hint="default"/>
          <w:lang w:val="en-US" w:eastAsia="zh-CN"/>
        </w:rPr>
      </w:pPr>
      <w:r>
        <w:rPr>
          <w:rFonts w:hint="eastAsia"/>
          <w:lang w:val="en-US" w:eastAsia="zh-CN"/>
        </w:rPr>
        <w:t>（四）</w:t>
      </w:r>
      <w:r>
        <w:rPr>
          <w:rFonts w:hint="default"/>
          <w:lang w:val="en-US" w:eastAsia="zh-CN"/>
        </w:rPr>
        <w:t>绩效目标设定情况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目标1：聚力项目建设，经济发展行稳致远。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目标2：蝶变乡村振兴，三农事业平稳推进。</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目标3：聚焦集镇建设，城乡品质整体提升。</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目标4：保障改善民生，惠民福祉不断增进。</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目标5：夯实安全稳定，社会治理有力有序。</w:t>
      </w:r>
    </w:p>
    <w:p>
      <w:pPr>
        <w:pStyle w:val="3"/>
        <w:numPr>
          <w:ilvl w:val="0"/>
          <w:numId w:val="1"/>
        </w:numPr>
        <w:bidi w:val="0"/>
        <w:rPr>
          <w:rFonts w:hint="eastAsia"/>
          <w:lang w:val="en-US" w:eastAsia="zh-CN"/>
        </w:rPr>
      </w:pPr>
      <w:r>
        <w:rPr>
          <w:rFonts w:hint="eastAsia"/>
          <w:lang w:val="en-US" w:eastAsia="zh-CN"/>
        </w:rPr>
        <w:t>一般公共预算支出情况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根据《会计法》、《预算法》、《行政单位财务规则》等法律和财政部及县财政局有关财务规章的规定，先后制订了《通道县机关事务中心财务管理制度》，《通道县交通局内部控制制度》，《湖南省农村公路建设管理办法》，《通道县交通局预算绩效目标管理办法》，《通道县机关事务中心预算绩效管理工作职责》，《通道县机关事务中心三公经费管理规定》明确了经费审批权限及程序，经费预算管理、财务经费管理、资产购置与处置、财务监督等。开展公用经费使用监督和绩效评估，进一步落实厉行节约的各项规定，确保“三公经费”使用合理合规等。上述制度规定基本执行到位。</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基本支出用于为保障各部门、机构正常运转、完成日常工作任务而发生的支出，包括人员经费和公用经费。</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2023年决算支出2003.15万元，其中：基本支出1284.93万元，项目支出718.22万元。</w:t>
      </w:r>
    </w:p>
    <w:p>
      <w:pPr>
        <w:pStyle w:val="4"/>
        <w:bidi w:val="0"/>
        <w:rPr>
          <w:rFonts w:hint="eastAsia"/>
          <w:b/>
          <w:bCs/>
          <w:lang w:val="en-US" w:eastAsia="zh-CN"/>
        </w:rPr>
      </w:pPr>
      <w:r>
        <w:rPr>
          <w:rFonts w:hint="eastAsia"/>
        </w:rPr>
        <w:t>（</w:t>
      </w:r>
      <w:r>
        <w:rPr>
          <w:rFonts w:hint="eastAsia"/>
          <w:lang w:val="en-US" w:eastAsia="zh-CN"/>
        </w:rPr>
        <w:t>一</w:t>
      </w:r>
      <w:r>
        <w:rPr>
          <w:rFonts w:hint="eastAsia"/>
        </w:rPr>
        <w:t>）</w:t>
      </w:r>
      <w:r>
        <w:rPr>
          <w:rFonts w:hint="eastAsia"/>
          <w:b/>
          <w:bCs/>
          <w:lang w:val="en-US" w:eastAsia="zh-CN"/>
        </w:rPr>
        <w:t>基本支出情况</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sz w:val="32"/>
          <w:szCs w:val="32"/>
          <w:lang w:val="en-US" w:eastAsia="zh-CN"/>
        </w:rPr>
        <w:t>2023年全年基本支出1284.93万元，其中：工资福利支出989.93万元、商品和服务支出191.04万元、对个人和家庭的补助38.27万元、债务利息及费用支出0万元、资本性支出65.7万元、其他支出0万元。</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3" w:firstLineChars="200"/>
        <w:textAlignment w:val="auto"/>
        <w:rPr>
          <w:rFonts w:hint="eastAsia" w:ascii="仿宋_GB2312" w:hAnsi="仿宋_GB2312" w:eastAsia="仿宋_GB2312" w:cs="仿宋_GB2312"/>
          <w:b/>
          <w:bCs/>
          <w:color w:val="auto"/>
          <w:kern w:val="2"/>
          <w:sz w:val="32"/>
          <w:szCs w:val="32"/>
          <w:lang w:val="en-US" w:eastAsia="zh-CN" w:bidi="ar-SA"/>
        </w:rPr>
      </w:pPr>
      <w:r>
        <w:rPr>
          <w:rFonts w:hint="eastAsia" w:ascii="仿宋_GB2312" w:hAnsi="仿宋_GB2312" w:eastAsia="仿宋_GB2312" w:cs="仿宋_GB2312"/>
          <w:b/>
          <w:bCs/>
          <w:color w:val="auto"/>
          <w:kern w:val="2"/>
          <w:sz w:val="32"/>
          <w:szCs w:val="32"/>
          <w:lang w:val="en-US" w:eastAsia="zh-CN" w:bidi="ar-SA"/>
        </w:rPr>
        <w:t>（二）项目支出情况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2023年项目经费支出</w:t>
      </w:r>
      <w:r>
        <w:rPr>
          <w:rFonts w:hint="eastAsia" w:ascii="仿宋_GB2312" w:hAnsi="仿宋_GB2312" w:eastAsia="仿宋_GB2312" w:cs="仿宋_GB2312"/>
          <w:b w:val="0"/>
          <w:bCs w:val="0"/>
          <w:color w:val="auto"/>
          <w:sz w:val="32"/>
          <w:szCs w:val="32"/>
          <w:lang w:val="en-US" w:eastAsia="zh-CN"/>
        </w:rPr>
        <w:t>718.22</w:t>
      </w:r>
      <w:r>
        <w:rPr>
          <w:rFonts w:hint="eastAsia" w:ascii="仿宋_GB2312" w:hAnsi="仿宋_GB2312" w:eastAsia="仿宋_GB2312" w:cs="仿宋_GB2312"/>
          <w:b w:val="0"/>
          <w:bCs w:val="0"/>
          <w:color w:val="auto"/>
          <w:kern w:val="2"/>
          <w:sz w:val="32"/>
          <w:szCs w:val="32"/>
          <w:lang w:val="en-US" w:eastAsia="zh-CN" w:bidi="ar-SA"/>
        </w:rPr>
        <w:t>万元，涉及12个项目，包括全市信访工作示范乡镇（街道）奖5万元、长岭街道“两站两员”补助经费1.68万元、长岭街道2023年综治维稳工作经费8万元、长岭街道2023年四化社区维稳经费2万元、长岭街道八字门社区部分维稳工作经费3万元、长岭街道2023年农村综合改革转移支付公益事业奖补资金48万元、长岭街道2023年度村（社区）运转经费及两厂社区运转经费454万元、长岭街道2021年五山包菜市场提质改造奖补资金90.66万元、2023年内贸发展资金10万元、长岭街道2023年社会管理职能移交后聘用人员补助工资经费20.88万元、长岭街道2023年国有企业退休人员社会化管理补助资金65万元、长岭街道应急能力建设资金10万元。</w:t>
      </w:r>
    </w:p>
    <w:p>
      <w:pPr>
        <w:pStyle w:val="3"/>
        <w:bidi w:val="0"/>
        <w:rPr>
          <w:rFonts w:hint="eastAsia"/>
        </w:rPr>
      </w:pPr>
      <w:r>
        <w:t>（三）</w:t>
      </w:r>
      <w:r>
        <w:rPr>
          <w:rFonts w:hint="eastAsia"/>
        </w:rPr>
        <w:t>“三公”经费的使用和管理情况</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单位2023年严格贯彻中央八项规定精神，厉行节约。“三公”经费的使用严格按照文件范围执行，财务人员严把票据审核的关卡，确保资金的合理使用。2023年初财政批复局机关“三公”经费预算数为0元，其中：公务接待费0万元、因公出国（境）费用0万元、公务用车购置及运行费0万元。全年决算局单位支出“三公”经费为0万元，其中：公务接待费0万元、因公出国（境）费用0万元、公务用车购置及运行费0万元。</w:t>
      </w:r>
    </w:p>
    <w:p>
      <w:pPr>
        <w:pStyle w:val="2"/>
        <w:bidi w:val="0"/>
        <w:rPr>
          <w:rFonts w:hint="eastAsia"/>
        </w:rPr>
      </w:pPr>
      <w:r>
        <w:rPr>
          <w:rFonts w:hint="eastAsia"/>
        </w:rPr>
        <w:t>三、政府性基金预算支出情况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eastAsia="仿宋_GB2312" w:cs="仿宋_GB2312"/>
          <w:i w:val="0"/>
          <w:iCs w:val="0"/>
          <w:caps w:val="0"/>
          <w:color w:val="000000"/>
          <w:spacing w:val="0"/>
          <w:sz w:val="32"/>
          <w:szCs w:val="32"/>
          <w:shd w:val="clear" w:fill="FFFFFF"/>
          <w:lang w:val="en-US" w:eastAsia="zh-CN"/>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2"/>
        <w:bidi w:val="0"/>
        <w:rPr>
          <w:rFonts w:hint="eastAsia"/>
        </w:rPr>
      </w:pPr>
      <w:r>
        <w:rPr>
          <w:rFonts w:hint="eastAsia"/>
        </w:rPr>
        <w:t>四、国有资本经营预算支出情况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2"/>
        <w:bidi w:val="0"/>
        <w:rPr>
          <w:rFonts w:hint="eastAsia"/>
        </w:rPr>
      </w:pPr>
      <w:r>
        <w:rPr>
          <w:rFonts w:hint="eastAsia"/>
        </w:rPr>
        <w:t>五、社会保险基金预算支出情况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黑体" w:hAnsi="黑体" w:eastAsia="黑体" w:cs="黑体"/>
          <w:i w:val="0"/>
          <w:iCs w:val="0"/>
          <w:caps w:val="0"/>
          <w:color w:val="000000"/>
          <w:spacing w:val="0"/>
          <w:sz w:val="32"/>
          <w:szCs w:val="32"/>
          <w:shd w:val="clear" w:fill="FFFFFF"/>
        </w:rPr>
      </w:pPr>
      <w:r>
        <w:rPr>
          <w:rFonts w:hint="eastAsia" w:ascii="仿宋_GB2312" w:eastAsia="仿宋_GB2312" w:cs="仿宋_GB2312"/>
          <w:i w:val="0"/>
          <w:iCs w:val="0"/>
          <w:caps w:val="0"/>
          <w:color w:val="000000"/>
          <w:spacing w:val="0"/>
          <w:sz w:val="32"/>
          <w:szCs w:val="32"/>
          <w:shd w:val="clear" w:fill="FFFFFF"/>
          <w:lang w:val="en-US" w:eastAsia="zh-CN"/>
        </w:rPr>
        <w:t>无。</w:t>
      </w:r>
    </w:p>
    <w:p>
      <w:pPr>
        <w:pStyle w:val="2"/>
        <w:bidi w:val="0"/>
        <w:rPr>
          <w:rFonts w:hint="eastAsia"/>
        </w:rPr>
      </w:pPr>
      <w:r>
        <w:rPr>
          <w:rFonts w:hint="eastAsia"/>
        </w:rPr>
        <w:t>六、部门整体支出绩效情况</w:t>
      </w:r>
    </w:p>
    <w:p>
      <w:pPr>
        <w:pStyle w:val="3"/>
        <w:bidi w:val="0"/>
        <w:rPr>
          <w:rFonts w:hint="default"/>
        </w:rPr>
      </w:pPr>
      <w:r>
        <w:rPr>
          <w:rFonts w:hint="default"/>
        </w:rPr>
        <w:t>（一）综合评价结论</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default" w:ascii="仿宋_GB2312" w:eastAsia="仿宋_GB2312" w:cs="仿宋_GB2312"/>
          <w:i w:val="0"/>
          <w:iCs w:val="0"/>
          <w:caps w:val="0"/>
          <w:color w:val="000000"/>
          <w:spacing w:val="0"/>
          <w:sz w:val="32"/>
          <w:szCs w:val="32"/>
          <w:shd w:val="clear" w:fill="FFFFFF"/>
        </w:rPr>
      </w:pPr>
      <w:r>
        <w:rPr>
          <w:rFonts w:hint="eastAsia" w:ascii="仿宋_GB2312" w:hAnsi="仿宋_GB2312" w:eastAsia="仿宋_GB2312" w:cs="仿宋_GB2312"/>
          <w:b w:val="0"/>
          <w:bCs w:val="0"/>
          <w:color w:val="auto"/>
          <w:sz w:val="32"/>
          <w:szCs w:val="32"/>
          <w:lang w:val="en-US" w:eastAsia="zh-CN"/>
        </w:rPr>
        <w:t>经自评，2023年度我单位部门整体支出绩效评价结论为“优”，自查评分为100分。</w:t>
      </w:r>
    </w:p>
    <w:p>
      <w:pPr>
        <w:pStyle w:val="3"/>
        <w:bidi w:val="0"/>
        <w:rPr>
          <w:rFonts w:hint="default"/>
        </w:rPr>
      </w:pPr>
      <w:r>
        <w:rPr>
          <w:rFonts w:hint="default"/>
        </w:rPr>
        <w:t>（二）评价指标分析</w:t>
      </w:r>
    </w:p>
    <w:p>
      <w:pPr>
        <w:pStyle w:val="4"/>
        <w:bidi w:val="0"/>
        <w:rPr>
          <w:rFonts w:hint="eastAsia"/>
          <w:lang w:val="en-US" w:eastAsia="zh-CN"/>
        </w:rPr>
      </w:pPr>
      <w:r>
        <w:rPr>
          <w:rFonts w:hint="eastAsia"/>
          <w:lang w:val="en-US" w:eastAsia="zh-CN"/>
        </w:rPr>
        <w:t>1.聚力项目建设，经济发展行稳致远</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们坚决把重大项目建设作为头号任务，抢抓机遇，奋楫图强。一是重大项目高效推进。3个指挥部，9个工作队，数百个日夜兼程，以“不择细土，埋头苦干，项目为王”的工作导向飞驰前进，超前完成项目征地拆迁既定任务，乙烯主体项目内721栋房屋、3384亩土地、7360冢坟墓全部拆除、征收、迁移，完成率100%，总投资356.8亿元的超级石化项目——乙烯项目正式开工建设；配套项目累计拆除房屋194栋、交地4303亩、迁移坟墓5492冢，完成率达87%。二是服务工作逐步优化。完成三期还建点基础设施建设并初步形成地基分配方案；和平大市场240个门面押金及预售款全部兑付，门面全部拆除，助力建设中科长岭花园，扩增辖区商品房源；完成商储油还建小区用地永农调划；对600余名外来务工人员流动信息、房屋情况摸排检查，有效消除电、气、火等安全隐患，筑牢群众“守护墙”。</w:t>
      </w:r>
    </w:p>
    <w:p>
      <w:pPr>
        <w:pStyle w:val="4"/>
        <w:bidi w:val="0"/>
        <w:rPr>
          <w:rFonts w:hint="eastAsia"/>
          <w:lang w:val="en-US" w:eastAsia="zh-CN"/>
        </w:rPr>
      </w:pPr>
      <w:r>
        <w:rPr>
          <w:rFonts w:hint="eastAsia"/>
          <w:lang w:val="en-US" w:eastAsia="zh-CN"/>
        </w:rPr>
        <w:t>2.蝶变乡村振兴，三农事业平稳推进</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们坚决把解决好“三农”问题作为重中之重，乡村振兴蹄疾步稳。一是产业向兴行。聚力做好巩固脱贫攻坚成果同乡村振兴有效衔接，完成粮产1600吨、粮食种植面积5000亩的目标任务。二是农村向美行。坚持生态优先，一体推进“三长制”。抓好“河长制”，推动山塘水库、支渠流域治理，水系生态持续改善；推动“田长制”，落实基本农田“非粮化”“非农化”政策，恢复耕地100亩；推动“林长制”，完成辖区内松材线虫疫木处理和古树木保护工作。三是民风向善行。持续开展移风易俗工作，办理无事酒和焚烧秸秆垃圾现象明显下降；配合开展文明城市、卫生城市评选及复检等工作，切实引导群众除陋习、树新风，培育了善良淳朴的民风。</w:t>
      </w:r>
    </w:p>
    <w:p>
      <w:pPr>
        <w:pStyle w:val="4"/>
        <w:bidi w:val="0"/>
        <w:rPr>
          <w:rFonts w:hint="eastAsia"/>
          <w:lang w:val="en-US" w:eastAsia="zh-CN"/>
        </w:rPr>
      </w:pPr>
      <w:r>
        <w:rPr>
          <w:rFonts w:hint="eastAsia"/>
          <w:lang w:val="en-US" w:eastAsia="zh-CN"/>
        </w:rPr>
        <w:t>3.聚焦集镇建设，城乡品质整体提升</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将集镇建设与城乡融合发展有机结合，让街道容貌更加靓丽，让群众生活更加美好。一是交通道路更畅通。实施路域环境整治工程，完成主街500米道路修补和1.9公里拓宽及油化，扩大2个十字路口的通行能力；在主干道两侧增设停车位152个，新建一处1550平方米的停车场，为群众出行提供更多便利。二是城乡容貌更靓丽。对街道主要路段常态化保洁，对违建违搭、出店经营等现象常态化执法，规范12家洗车门店经营秩序；同时，完成沿线1.9公里绿化改造，持续做好道路品质提升工作。三是控建拆违更有力。坚持“以人为本、刚柔并济”的原则，采用“边劝导，边执法”的治理方式，及时控制、制止、拆除违法建设，有效遏制了违建新增势头。</w:t>
      </w:r>
    </w:p>
    <w:p>
      <w:pPr>
        <w:pStyle w:val="4"/>
        <w:bidi w:val="0"/>
        <w:rPr>
          <w:rFonts w:hint="eastAsia"/>
          <w:lang w:val="en-US" w:eastAsia="zh-CN"/>
        </w:rPr>
      </w:pPr>
      <w:r>
        <w:rPr>
          <w:rFonts w:hint="eastAsia"/>
          <w:lang w:val="en-US" w:eastAsia="zh-CN"/>
        </w:rPr>
        <w:t>4.保障改善民生，惠民福祉不断增进</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以兜牢民生底线、补齐民生短板、破解民生难题为重点，着力解决群众急难愁盼的问题。 一是民政兜底暖人心。针对低保户、困难户、特殊人群等共发放资金350余万元；积极为低保及低收入家庭发放廉租房补贴14万元；为失地少地农民办理养老保险256人次；退役军人优待证办理1752人次。二是以文化人润民心。注重文化阵地建设，街道荣获“扫黄打非”市级示范点，洞庭社区创建市级“最美潇湘文化阵地”。建立文化活动队伍18支，组织开展各类文艺汇演15场，切实丰富了群众精神文化生活。三是夯实基建惠民生。加强基础设施建设，高标准完成22户厕改任务；全年硬化维修组级公路约8公里；完成对侯家港南港的整治，驳岸护坡800米；完成和平大道、文桥街等主干道四网合一入地改造；初步完成居民活动中心一期改造；完成朝阳村老旧小区改造，卫生院业务用房修缮。</w:t>
      </w:r>
    </w:p>
    <w:p>
      <w:pPr>
        <w:pStyle w:val="4"/>
        <w:bidi w:val="0"/>
        <w:rPr>
          <w:rFonts w:hint="eastAsia"/>
          <w:lang w:val="en-US" w:eastAsia="zh-CN"/>
        </w:rPr>
      </w:pPr>
      <w:r>
        <w:rPr>
          <w:rFonts w:hint="eastAsia"/>
          <w:lang w:val="en-US" w:eastAsia="zh-CN"/>
        </w:rPr>
        <w:t>5.夯实安全稳定，社会治理有力有序</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压实各方责任，做好风险隐患排查、矛盾纠纷化解、法治宣传教育等工作，不断提升群众安全感。一是安全生产不松懈。打好“安全生产翻身仗”，通过“敲门行动”，跟踪整改227户燃气隐患；9个村（社区）全部建立了微型消防站，修建3.8公里森林防火隔离带；完成一批电动车集中充电桩建设；成功应对2轮冰冻雨雪天气；排查自建房3903栋，对鉴定为C、D级的6栋房屋完成销号。二是综治维稳重点抓。依托街道、社区、网格三级矛盾调解机制，将人民调解融入网格化基层社会治理体系，开展矛盾纠纷排查65余次；大力推行“群英断是非”工作法，化解各类信访问题160余件，确保辖区居民生活和谐稳定。三是法治长街见实效。积极开展法治政府建设工作，完成9个村（社区）法治文化广场或长廊建设；扎实开展了“送法下乡”等主题活动，居民法治意识进一步得到提高。</w:t>
      </w:r>
    </w:p>
    <w:p>
      <w:pPr>
        <w:pStyle w:val="2"/>
        <w:bidi w:val="0"/>
        <w:rPr>
          <w:rFonts w:hint="eastAsia"/>
        </w:rPr>
      </w:pPr>
      <w:r>
        <w:rPr>
          <w:rFonts w:hint="eastAsia"/>
        </w:rPr>
        <w:t>七、存在的问题及原因分析</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1.行政村的集体经济发展后劲不足。村集体经济收入整体比较薄弱，持续“造血”功能略显不足。</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民政服务存在短板与弱项。在服务重大项目过程中，个别区域征拆进度与项目建设需要仍有差距；群租房安全监管、环境卫生长效化管理和社会治安稳定等方面的能力亟需加强；还要重点解决好因拆迁面临的就业、就学、就医等与群众息息相关的民生问题；违法变更林业用地性质问题更加不容忽视。</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3.争资争项力度不足，利用上级预算内资金办事的效能没得到发挥。</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4.部分老旧小区基础设施陈旧，年久失修，存在诸多安全隐患。</w:t>
      </w:r>
    </w:p>
    <w:p>
      <w:pPr>
        <w:pStyle w:val="2"/>
        <w:bidi w:val="0"/>
        <w:rPr>
          <w:rFonts w:hint="eastAsia"/>
        </w:rPr>
      </w:pPr>
      <w:r>
        <w:rPr>
          <w:rFonts w:hint="eastAsia"/>
        </w:rPr>
        <w:t>八、下一步改进措施</w:t>
      </w:r>
    </w:p>
    <w:p>
      <w:pPr>
        <w:pStyle w:val="3"/>
        <w:bidi w:val="0"/>
        <w:rPr>
          <w:rFonts w:hint="eastAsia"/>
          <w:lang w:val="en-US" w:eastAsia="zh-CN"/>
        </w:rPr>
      </w:pPr>
      <w:r>
        <w:rPr>
          <w:rFonts w:hint="eastAsia"/>
          <w:lang w:val="en-US" w:eastAsia="zh-CN"/>
        </w:rPr>
        <w:t>（一）坚持项目服务和经济建设相结合，走好统筹兼顾、高质发展道路</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我们要坚定不移把项目建设作为经济工作的主抓手，全流程关注、全方位助力、全要素保障，以高质量项目建设支撑高质量发展。一是项目攻坚稳中求进。各单位既要各司其职、各负其责，也要心往一处想、劲往一处使，形成强大合力，铆足干劲不松懈。加快攻坚乙烯配套项目44栋房屋拆迁、994冢坟墓迁移的扫尾进程；跟进商储油还建小区建设进度；全力推进白竹、平坳水库报废、水源替代等工程建设，保障群众正常的生产生活不受影响。二是服务质量持续优化。健全乡友招引机制，优化返乡创业服务保障，同步抓好被征地农民就业保障，在产业引进过程中解决群众生计，确保拆迁群众“失地不失业、稳收更增收”。认真梳理项目遗留问题，强化组织领导、成立工作专班，加大攻坚力度，尽快完成土地款及三期还建点宅基地分配工作。协调解决外迁人员就医、就学的问题。探索剩余土地经营管理模式。加强对外来务工人员以及重点项目周边群租房的管理，依法治理违规、无序出租房屋行为。三是财源建设提质增效。2024年要下大功夫做好争资争项、项目储备等工作，争取到位资金1000万元以上，做实做细工程项目管理，研判项目可行性，规范项目申报程序、监管项目质量安全。加快推动园区供水管网建设，拓宽财源收入渠道。各村（社区）、各机关站所要进一步节约开支，结合巡察整改，做好项目审计、财务管理等工作；同时，年度工作性经费不得高于去年。</w:t>
      </w:r>
    </w:p>
    <w:p>
      <w:pPr>
        <w:pStyle w:val="3"/>
        <w:bidi w:val="0"/>
        <w:rPr>
          <w:rFonts w:hint="eastAsia"/>
          <w:lang w:val="en-US" w:eastAsia="zh-CN"/>
        </w:rPr>
      </w:pPr>
      <w:r>
        <w:rPr>
          <w:rFonts w:hint="eastAsia"/>
          <w:lang w:val="en-US" w:eastAsia="zh-CN"/>
        </w:rPr>
        <w:t>（二）坚持乡村振兴和城镇建设相结合，加快城乡融合、区域协调进程</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把建设乐居乐业新长街作为推动乡村全面振兴和城乡融合发展的总抓手，促进城乡功能衔接互补、资源要素优化配置。一是建设新型集镇。把握好项目建设、人员聚集新情况、新形势，配合解决服务配套功能不足等问题，挖掘好臣山村培风塔特色文化，探索文旅休闲业态建设；加快推进四化村菜市场商业规划进程，完善集镇商业功能。同时，完成村庄整体编制规划，大力实施新型城镇提质升级行动。进一步规范村民建房审批程序，提升集镇容貌形象。二是加快品质提升。常态化保持路域环境整治效果，推进430米炼化路二期提质改造，统筹跟进文修桥老旧小区配套设施建设，抓好燃气管网、污水管网迁改和道路绿化、光缆入地等基础工程，全方位提升城镇建设品质。三是构建和美乡村。加强防返贫动态监测和帮扶，实现突出问题动态清零；盘活农村闲置资产资源，发展壮大新型集体经济。指导群众做好2024年春耕备耕和土壤育肥工作，全面完成粮食生产等各项指标任务。全年预计硬化组级道路6公里，修建机耕道3公里，清淤扩容山塘9口，安装路灯260余盏，启动文桥支渠驳岸护坡、防汛通道升级改造工程，持续改善基础设施。</w:t>
      </w:r>
    </w:p>
    <w:p>
      <w:pPr>
        <w:pStyle w:val="3"/>
        <w:bidi w:val="0"/>
        <w:rPr>
          <w:rFonts w:hint="eastAsia"/>
          <w:lang w:val="en-US" w:eastAsia="zh-CN"/>
        </w:rPr>
      </w:pPr>
      <w:r>
        <w:rPr>
          <w:rFonts w:hint="eastAsia"/>
          <w:lang w:val="en-US" w:eastAsia="zh-CN"/>
        </w:rPr>
        <w:t>（三）坚持基本保障和多元供给相结合，增进民生福祉、幸福生活质感</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通过加强普惠性、基础性、兜底性民生建设，把主题教育成果转化为服务群众的实际行动，扎实推进共同富裕，不断将民生领域的“关键小事”办成群众心头的“温暖大事”。一是做好基础社会服务工作。坚持以人为本，完善社会治理，深化便民办事服务，结合“党建+社会救助”的结对帮带活动，进一步做好基层公共服务（一门式）平台建设，健全留守老人、留守儿童、残疾人等特殊群体多层次社会保障、社会救助体系，确保辖区困难家庭结对全覆盖、帮扶全方位、低保全纳入。落实全面参保计划，确保基本医保参保率95%以上，特困人员、低保对象等人员100%参保。二是提升公共服务供给水平。进一步优化文化、教育、医疗等基本公共服务体系，提高群众生活质量。2024年，重点完成居民活动中心的二期改造，为群众提供一个“老年食堂+休闲娱乐”的综合性场所。在臣山村修建1处文化广场，在四化社区添置健身器材12套。加快推进文桥中心小学道路提质改造、公租房建设项目，文桥中学增加人行步道、挡雨棚，优化校园环境。另外，各村（社区）要管好用好卫生室，保障医务人员配备到位。三是不断丰富精神文化生活。坚持把精神文明与群众生产生活高度融合，做到入情入理、潜移默化。深入推进移风易俗行动，大力倡导气代柴薪、文明祭祀，弘扬社会文明风尚。组织街道文体社团队伍，参加各类舞蹈、歌唱、汇演比赛等。此外，汲取精神文明建设工作中的先进做法，争创市级文明标兵单位。</w:t>
      </w:r>
    </w:p>
    <w:p>
      <w:pPr>
        <w:pStyle w:val="3"/>
        <w:bidi w:val="0"/>
        <w:rPr>
          <w:rFonts w:hint="eastAsia"/>
          <w:lang w:val="en-US" w:eastAsia="zh-CN"/>
        </w:rPr>
      </w:pPr>
      <w:r>
        <w:rPr>
          <w:rFonts w:hint="eastAsia"/>
          <w:lang w:val="en-US" w:eastAsia="zh-CN"/>
        </w:rPr>
        <w:t>（四）坚持生态建设与绿色发展相结合，描绘山环水润、绿意盎然画卷</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全面推进生态文明建设，协同推进降碳、减污、扩绿，让经济发展与环境保护同步进行。一是生态保护加强建设。统筹山水林田湖草沙一体化保护和系统治理，刚性推进“三线一单”管控，严格落实河、林、田三长制，加快美丽河湖工程建设，确保撇洪河、文桥支渠等流域水环境持续向好；加大森林资源保护力度，强化森林防火和病虫害防治工作举措；持续整治耕地抛荒撂荒，防止耕地“非粮化”“非农化”，为推动高质量发展提供坚实的生态保障。二是人居环境持续整治。统筹抓好交通主干道、菜市场、背街小巷专项整治；扎实巩固城镇污水处理，坚决保证生猪退养、农业面源污染问题不反弹，顺利迎接中央、省委环保督察组的全面检视；全域全时段禁止露天焚烧秸秆，巩固扩大农村“厕所革命”成果，稳步提升改厕质量，努力营造干净整洁的卫生环境；探索实施生活垃圾分类工作，引导群众定点投放生活垃圾。三是绿色发展大力推进。牢固树立生态文明理念，涵养全民生态意识，积极开展“守护一江碧水”等志愿服务活动。开展节约型机关创建，发挥党政机关率先垂范作用，推行绿色办公，养成简约适度的生活和工作方式。</w:t>
      </w:r>
    </w:p>
    <w:p>
      <w:pPr>
        <w:pStyle w:val="3"/>
        <w:bidi w:val="0"/>
        <w:rPr>
          <w:rFonts w:hint="eastAsia"/>
          <w:lang w:val="en-US" w:eastAsia="zh-CN"/>
        </w:rPr>
      </w:pPr>
      <w:r>
        <w:rPr>
          <w:rFonts w:hint="eastAsia"/>
          <w:lang w:val="en-US" w:eastAsia="zh-CN"/>
        </w:rPr>
        <w:t>（五）坚持强力治标和长效治本相结合，营造和谐美好、安全稳定环境</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hint="eastAsia"/>
          <w:lang w:val="en-US" w:eastAsia="zh-CN"/>
        </w:rPr>
      </w:pPr>
      <w:r>
        <w:rPr>
          <w:rFonts w:hint="eastAsia" w:ascii="仿宋_GB2312" w:hAnsi="仿宋_GB2312" w:eastAsia="仿宋_GB2312" w:cs="仿宋_GB2312"/>
          <w:b w:val="0"/>
          <w:bCs w:val="0"/>
          <w:color w:val="auto"/>
          <w:sz w:val="32"/>
          <w:szCs w:val="32"/>
          <w:lang w:val="en-US" w:eastAsia="zh-CN"/>
        </w:rPr>
        <w:t>始终坚守安全发展底线，捍卫公正法治，全力推进维护社会稳定工作，助推创造美好幸福的社会环境。一是严抓安全生产。落实落细安全生产十五条硬措施，全面开展安全生产治本攻坚三年行动，常态化开展“敲门行动”，加快整治正兴市场安全隐患、废旧暖气管线、电动车飞线充电等一批突出安全问题；协调保障高填土区域挡土墙建设，坚决预防发生泥石流现象；扎实推进小河沟水系治理，提高防洪排涝能力。二是完善基层治理。搭建基层治理新体系，注重吸纳多方力量参与到基层治理，加大爱国卫生、文明新风宣传力度，全面激发社会活力。严格精简规范各类“进校园”活动、落实好基层减负工作要求、完善民主协商制度，切实提高基层治理水平。制定规范化、标准化执法制度，提升对新增违建处置效率，巩固和平大道出店经营成果，加强对“四乱”等问题的长效管理。三是维护社会稳定。紧盯宾馆、KTV、足浴中心等重点娱乐场所，加大对“黄赌毒”及侵害未成年人等违法行为的巡查打击力度。发挥好“双网”联动作用，推行“群英断是非”工作法，统筹法律明白人力量，加快法治精神融入基层，依法化解各类重大涉稳问题，持续推进信访积案化解清零，争创市级“平安市场”及“军地平安”示范单位。</w:t>
      </w:r>
    </w:p>
    <w:p>
      <w:pPr>
        <w:pStyle w:val="2"/>
        <w:bidi w:val="0"/>
        <w:rPr>
          <w:rFonts w:hint="eastAsia"/>
          <w:lang w:val="en-US" w:eastAsia="en-US"/>
        </w:rPr>
      </w:pPr>
      <w:r>
        <w:rPr>
          <w:rFonts w:hint="eastAsia"/>
          <w:lang w:val="en-US" w:eastAsia="en-US"/>
        </w:rPr>
        <w:t>九、其他需要说明的情况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520" w:lineRule="exact"/>
        <w:ind w:right="0" w:firstLine="640" w:firstLineChars="200"/>
        <w:textAlignment w:val="auto"/>
        <w:rPr>
          <w:rFonts w:hint="eastAsia" w:ascii="仿宋_GB2312" w:hAnsi="仿宋_GB2312" w:eastAsia="仿宋_GB2312" w:cs="仿宋_GB2312"/>
          <w:b w:val="0"/>
          <w:bCs w:val="0"/>
          <w:color w:val="auto"/>
          <w:kern w:val="2"/>
          <w:sz w:val="32"/>
          <w:szCs w:val="32"/>
          <w:lang w:val="en-US" w:eastAsia="zh-CN" w:bidi="ar-SA"/>
        </w:rPr>
      </w:pPr>
      <w:r>
        <w:rPr>
          <w:rFonts w:hint="eastAsia" w:ascii="仿宋_GB2312" w:hAnsi="仿宋_GB2312" w:eastAsia="仿宋_GB2312" w:cs="仿宋_GB2312"/>
          <w:b w:val="0"/>
          <w:bCs w:val="0"/>
          <w:color w:val="auto"/>
          <w:kern w:val="2"/>
          <w:sz w:val="32"/>
          <w:szCs w:val="32"/>
          <w:lang w:val="en-US" w:eastAsia="zh-CN" w:bidi="ar-SA"/>
        </w:rPr>
        <w:t>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9"/>
        <w:sz w:val="24"/>
        <w:szCs w:val="24"/>
      </w:rPr>
    </w:pPr>
    <w:r>
      <w:rPr>
        <w:rStyle w:val="9"/>
        <w:rFonts w:hint="eastAsia"/>
        <w:sz w:val="24"/>
        <w:szCs w:val="24"/>
      </w:rPr>
      <w:t xml:space="preserve">— </w:t>
    </w:r>
    <w:r>
      <w:rPr>
        <w:sz w:val="24"/>
        <w:szCs w:val="24"/>
      </w:rPr>
      <w:fldChar w:fldCharType="begin"/>
    </w:r>
    <w:r>
      <w:rPr>
        <w:rStyle w:val="9"/>
        <w:sz w:val="24"/>
        <w:szCs w:val="24"/>
      </w:rPr>
      <w:instrText xml:space="preserve">PAGE  </w:instrText>
    </w:r>
    <w:r>
      <w:rPr>
        <w:sz w:val="24"/>
        <w:szCs w:val="24"/>
      </w:rPr>
      <w:fldChar w:fldCharType="separate"/>
    </w:r>
    <w:r>
      <w:rPr>
        <w:rStyle w:val="9"/>
        <w:sz w:val="24"/>
        <w:szCs w:val="24"/>
      </w:rPr>
      <w:t>2</w:t>
    </w:r>
    <w:r>
      <w:rPr>
        <w:sz w:val="24"/>
        <w:szCs w:val="24"/>
      </w:rPr>
      <w:fldChar w:fldCharType="end"/>
    </w:r>
    <w:r>
      <w:rPr>
        <w:rStyle w:val="9"/>
        <w:rFonts w:hint="eastAsia"/>
        <w:sz w:val="24"/>
        <w:szCs w:val="24"/>
      </w:rPr>
      <w:t xml:space="preserve"> —</w:t>
    </w:r>
  </w:p>
  <w:p>
    <w:pP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outside" w:y="1"/>
    </w:pPr>
    <w:r>
      <w:fldChar w:fldCharType="begin"/>
    </w:r>
    <w:r>
      <w:instrText xml:space="preserve">PAGE  </w:instrText>
    </w:r>
    <w:r>
      <w:fldChar w:fldCharType="separate"/>
    </w:r>
    <w:r>
      <w:t>- 15 -</w:t>
    </w:r>
    <w:r>
      <w:fldChar w:fldCharType="end"/>
    </w:r>
  </w:p>
  <w:p>
    <w:pPr>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976376"/>
    <w:multiLevelType w:val="singleLevel"/>
    <w:tmpl w:val="DC97637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5NmFjMmM4ZTljMGJiZDAxN2JmYTc0NGI0NmFiNDgifQ=="/>
  </w:docVars>
  <w:rsids>
    <w:rsidRoot w:val="00000000"/>
    <w:rsid w:val="186A0D56"/>
    <w:rsid w:val="2AB54840"/>
    <w:rsid w:val="624A5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ind w:firstLine="640" w:firstLineChars="200"/>
      <w:outlineLvl w:val="0"/>
    </w:pPr>
    <w:rPr>
      <w:rFonts w:eastAsia="黑体" w:asciiTheme="minorAscii" w:hAnsiTheme="minorAscii"/>
      <w:b/>
      <w:kern w:val="44"/>
      <w:sz w:val="32"/>
    </w:rPr>
  </w:style>
  <w:style w:type="paragraph" w:styleId="3">
    <w:name w:val="heading 2"/>
    <w:basedOn w:val="1"/>
    <w:next w:val="1"/>
    <w:unhideWhenUsed/>
    <w:qFormat/>
    <w:uiPriority w:val="0"/>
    <w:pPr>
      <w:keepNext/>
      <w:keepLines/>
      <w:spacing w:line="560" w:lineRule="exact"/>
      <w:ind w:firstLine="200" w:firstLineChars="200"/>
      <w:outlineLvl w:val="1"/>
    </w:pPr>
    <w:rPr>
      <w:rFonts w:eastAsia="楷体_GB2312" w:asciiTheme="majorAscii" w:hAnsiTheme="majorAscii" w:cstheme="majorBidi"/>
      <w:b/>
      <w:bCs/>
      <w:sz w:val="32"/>
      <w:szCs w:val="32"/>
    </w:rPr>
  </w:style>
  <w:style w:type="paragraph" w:styleId="4">
    <w:name w:val="heading 3"/>
    <w:basedOn w:val="1"/>
    <w:next w:val="1"/>
    <w:autoRedefine/>
    <w:unhideWhenUsed/>
    <w:qFormat/>
    <w:uiPriority w:val="0"/>
    <w:pPr>
      <w:keepNext/>
      <w:keepLines/>
      <w:spacing w:beforeLines="0" w:beforeAutospacing="0" w:afterLines="0" w:afterAutospacing="0" w:line="560" w:lineRule="exact"/>
      <w:ind w:firstLine="640" w:firstLineChars="200"/>
      <w:outlineLvl w:val="2"/>
    </w:pPr>
    <w:rPr>
      <w:rFonts w:eastAsia="仿宋_GB2312" w:asciiTheme="minorAscii" w:hAnsiTheme="minorAscii"/>
      <w:sz w:val="3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styleId="5">
    <w:name w:val="footer"/>
    <w:basedOn w:val="1"/>
    <w:autoRedefine/>
    <w:qFormat/>
    <w:uiPriority w:val="0"/>
    <w:pPr>
      <w:tabs>
        <w:tab w:val="center" w:pos="4153"/>
        <w:tab w:val="right" w:pos="8306"/>
      </w:tabs>
      <w:snapToGrid w:val="0"/>
      <w:jc w:val="left"/>
    </w:pPr>
    <w:rPr>
      <w:kern w:val="0"/>
      <w:sz w:val="18"/>
      <w:szCs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page number"/>
    <w:autoRedefine/>
    <w:qFormat/>
    <w:uiPriority w:val="0"/>
  </w:style>
  <w:style w:type="paragraph" w:customStyle="1" w:styleId="10">
    <w:name w:val="BodyText1I2"/>
    <w:basedOn w:val="11"/>
    <w:autoRedefine/>
    <w:qFormat/>
    <w:uiPriority w:val="0"/>
    <w:pPr>
      <w:spacing w:before="100" w:beforeAutospacing="1" w:after="0"/>
      <w:ind w:left="0" w:firstLine="420" w:firstLineChars="200"/>
    </w:pPr>
    <w:rPr>
      <w:rFonts w:ascii="Calibri" w:hAnsi="Calibri"/>
    </w:rPr>
  </w:style>
  <w:style w:type="paragraph" w:customStyle="1" w:styleId="11">
    <w:name w:val="BodyTextIndent"/>
    <w:basedOn w:val="1"/>
    <w:autoRedefine/>
    <w:qFormat/>
    <w:uiPriority w:val="0"/>
    <w:pPr>
      <w:spacing w:after="120"/>
      <w:ind w:left="420" w:leftChars="200"/>
    </w:pPr>
  </w:style>
  <w:style w:type="paragraph" w:customStyle="1" w:styleId="12">
    <w:name w:val="BodyText1I"/>
    <w:basedOn w:val="1"/>
    <w:autoRedefine/>
    <w:qFormat/>
    <w:uiPriority w:val="99"/>
    <w:pPr>
      <w:snapToGrid w:val="0"/>
      <w:spacing w:line="360" w:lineRule="auto"/>
      <w:ind w:firstLine="420" w:firstLineChars="100"/>
    </w:pPr>
    <w:rPr>
      <w:sz w:val="28"/>
      <w:szCs w:val="20"/>
    </w:rPr>
  </w:style>
  <w:style w:type="paragraph" w:customStyle="1" w:styleId="13">
    <w:name w:val="标题1"/>
    <w:basedOn w:val="3"/>
    <w:autoRedefine/>
    <w:qFormat/>
    <w:uiPriority w:val="0"/>
    <w:rPr>
      <w:rFonts w:eastAsia="黑体"/>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1</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2024-05-20T07:10:00Z</dcterms:created>
  <dc:creator>HNBS-WORKER3</dc:creator>
  <cp:lastModifiedBy>灯火阑珊</cp:lastModifiedBy>
  <dcterms:modified xsi:type="dcterms:W3CDTF">2024-05-20T07:43:44Z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804981F5557747C88F7BF007EF947A1D_12</vt:lpwstr>
  </property>
</Properties>
</file>