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outlineLvl w:val="9"/>
        <w:rPr>
          <w:rFonts w:hint="default"/>
          <w:lang w:val="en-US" w:eastAsia="zh-CN"/>
        </w:rPr>
      </w:pPr>
      <w:r>
        <w:rPr>
          <w:rFonts w:hint="eastAsia"/>
          <w:lang w:val="en-US" w:eastAsia="zh-CN"/>
        </w:rPr>
        <w:t>附件2</w:t>
      </w:r>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部门整体支出绩效评价基础数据表</w:t>
      </w:r>
    </w:p>
    <w:p>
      <w:pPr>
        <w:widowControl/>
        <w:tabs>
          <w:tab w:val="left" w:pos="3611"/>
          <w:tab w:val="left" w:pos="4791"/>
          <w:tab w:val="left" w:pos="5951"/>
          <w:tab w:val="left" w:pos="7071"/>
          <w:tab w:val="left" w:pos="8191"/>
          <w:tab w:val="left" w:pos="9311"/>
        </w:tabs>
        <w:ind w:left="91"/>
        <w:jc w:val="left"/>
        <w:rPr>
          <w:rFonts w:hint="eastAsia" w:eastAsia="仿宋_GB2312"/>
          <w:kern w:val="0"/>
          <w:sz w:val="24"/>
          <w:lang w:val="en-US" w:eastAsia="zh-CN"/>
        </w:rPr>
      </w:pPr>
      <w:r>
        <w:rPr>
          <w:rFonts w:hint="eastAsia" w:eastAsia="仿宋_GB2312"/>
          <w:kern w:val="0"/>
          <w:sz w:val="24"/>
          <w:lang w:val="en-US" w:eastAsia="zh-CN"/>
        </w:rPr>
        <w:t>填报单位：岳阳市云溪区巴陵石化协作协调事务中心</w:t>
      </w:r>
    </w:p>
    <w:tbl>
      <w:tblPr>
        <w:tblW w:w="90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919"/>
        <w:gridCol w:w="1282"/>
        <w:gridCol w:w="868"/>
        <w:gridCol w:w="1410"/>
        <w:gridCol w:w="840"/>
        <w:gridCol w:w="844"/>
        <w:gridCol w:w="17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8" w:hRule="atLeast"/>
        </w:trPr>
        <w:tc>
          <w:tcPr>
            <w:tcW w:w="2040" w:type="dxa"/>
            <w:vMerge w:val="restar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财政供养人员情况</w:t>
            </w:r>
          </w:p>
        </w:tc>
        <w:tc>
          <w:tcPr>
            <w:tcW w:w="2150" w:type="dxa"/>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编制数</w:t>
            </w:r>
          </w:p>
        </w:tc>
        <w:tc>
          <w:tcPr>
            <w:tcW w:w="2250" w:type="dxa"/>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2023年实际在职人数</w:t>
            </w:r>
          </w:p>
        </w:tc>
        <w:tc>
          <w:tcPr>
            <w:tcW w:w="2580" w:type="dxa"/>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控制率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2040"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b/>
                <w:bCs/>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经费控制情况(万元)</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2022年决算数</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2023年预算数</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2023年决算数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三公经费</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2.13</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1、公务用车购置和维护经费</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1.91</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其中：公车购置</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公车运行维护</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1.91</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2、出国经费</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3、公务接待</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0.22</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项目支出：</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37.96</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bdr w:val="none" w:color="auto" w:sz="0" w:space="0"/>
                <w:lang w:val="en-US" w:eastAsia="zh-CN" w:bidi="ar"/>
              </w:rPr>
              <w:t>209.64</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bdr w:val="none" w:color="auto" w:sz="0" w:space="0"/>
                <w:lang w:val="en-US" w:eastAsia="zh-CN" w:bidi="ar"/>
              </w:rPr>
              <w:t>209.64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1、业务工作经费</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7.01</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7.01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2、运行维护经费</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04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3、本级专项资金（三供一业日常经费）</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24.92</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04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本级专项资金（岳化协作局综合预算）</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160.44</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160.44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04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本级专项资金（厂地安环联动应急机制）</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17.27</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公用经费：</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62.53</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19.92</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其中：办公经费</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6.62</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4.78</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水费、电费、差旅费</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0.8</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3.19</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会议费、培训费</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1.38</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0.22</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政府采购金额</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04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 xml:space="preserve">部门基本支出预算调整 </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117.85</w:t>
            </w:r>
          </w:p>
        </w:tc>
        <w:tc>
          <w:tcPr>
            <w:tcW w:w="0" w:type="auto"/>
            <w:gridSpan w:val="2"/>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117.85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204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 xml:space="preserve">楼堂馆所控制情况 </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（2023年完工项目）</w:t>
            </w:r>
          </w:p>
        </w:tc>
        <w:tc>
          <w:tcPr>
            <w:tcW w:w="12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 xml:space="preserve">批复规模 </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w:t>
            </w:r>
          </w:p>
        </w:tc>
        <w:tc>
          <w:tcPr>
            <w:tcW w:w="8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实际规模</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规模控制率</w:t>
            </w:r>
          </w:p>
        </w:tc>
        <w:tc>
          <w:tcPr>
            <w:tcW w:w="9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预算投资</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（万元）</w:t>
            </w:r>
          </w:p>
        </w:tc>
        <w:tc>
          <w:tcPr>
            <w:tcW w:w="12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实际投资</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投资概算控制率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204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8"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厉行节约保障措施</w:t>
            </w: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bl>
    <w:p>
      <w:pPr>
        <w:widowControl/>
        <w:tabs>
          <w:tab w:val="left" w:pos="3611"/>
          <w:tab w:val="left" w:pos="4791"/>
          <w:tab w:val="left" w:pos="5951"/>
          <w:tab w:val="left" w:pos="7071"/>
          <w:tab w:val="left" w:pos="8191"/>
          <w:tab w:val="left" w:pos="9311"/>
        </w:tabs>
        <w:ind w:left="91"/>
        <w:jc w:val="left"/>
        <w:rPr>
          <w:rFonts w:hint="eastAsia" w:eastAsia="仿宋_GB2312"/>
          <w:kern w:val="0"/>
          <w:sz w:val="24"/>
          <w:lang w:val="en-US" w:eastAsia="zh-CN"/>
        </w:rPr>
      </w:pPr>
      <w:r>
        <w:rPr>
          <w:rFonts w:hint="eastAsia" w:eastAsia="仿宋_GB2312"/>
          <w:kern w:val="0"/>
          <w:sz w:val="24"/>
          <w:lang w:val="en-US" w:eastAsia="zh-CN"/>
        </w:rPr>
        <w:t xml:space="preserve">                                  </w:t>
      </w:r>
    </w:p>
    <w:p>
      <w:pPr>
        <w:pStyle w:val="15"/>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hint="eastAsia"/>
          <w:lang w:val="en-US" w:eastAsia="zh-CN"/>
        </w:rPr>
      </w:pPr>
      <w:r>
        <w:rPr>
          <w:rFonts w:eastAsia="仿宋_GB2312"/>
          <w:kern w:val="0"/>
          <w:sz w:val="22"/>
        </w:rPr>
        <w:t>说明：“项目支出”需要填报基本支出以外的所有项目支出情况，“公用经费”填报基本支出中的一般商品和服务支出。</w:t>
      </w:r>
    </w:p>
    <w:p>
      <w:pPr>
        <w:widowControl w:val="0"/>
        <w:kinsoku/>
        <w:autoSpaceDE/>
        <w:autoSpaceDN/>
        <w:adjustRightInd/>
        <w:snapToGrid/>
        <w:spacing w:line="600" w:lineRule="exact"/>
        <w:jc w:val="both"/>
        <w:textAlignment w:val="auto"/>
        <w:rPr>
          <w:rFonts w:hint="eastAsia"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eastAsia="仿宋_GB2312" w:cs="Times New Roman"/>
          <w:snapToGrid/>
          <w:color w:val="000000"/>
          <w:kern w:val="0"/>
          <w:sz w:val="24"/>
          <w:szCs w:val="24"/>
          <w:lang w:val="en-US" w:eastAsia="zh-CN" w:bidi="ar-SA"/>
        </w:rPr>
        <w:t xml:space="preserve">刘静 </w:t>
      </w:r>
      <w:r>
        <w:rPr>
          <w:rFonts w:hint="default" w:ascii="Times New Roman" w:hAnsi="Times New Roman" w:eastAsia="仿宋_GB2312" w:cs="Times New Roman"/>
          <w:snapToGrid/>
          <w:color w:val="000000"/>
          <w:kern w:val="0"/>
          <w:sz w:val="24"/>
          <w:szCs w:val="24"/>
          <w:lang w:val="en-US" w:eastAsia="zh-CN" w:bidi="ar-SA"/>
        </w:rPr>
        <w:t>填报日期：</w:t>
      </w:r>
      <w:r>
        <w:rPr>
          <w:rFonts w:hint="eastAsia" w:eastAsia="仿宋_GB2312" w:cs="Times New Roman"/>
          <w:snapToGrid/>
          <w:color w:val="000000"/>
          <w:kern w:val="0"/>
          <w:sz w:val="24"/>
          <w:szCs w:val="24"/>
          <w:lang w:val="en-US" w:eastAsia="zh-CN" w:bidi="ar-SA"/>
        </w:rPr>
        <w:t>2024.6.20</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eastAsia="仿宋_GB2312" w:cs="Times New Roman"/>
          <w:snapToGrid/>
          <w:color w:val="000000"/>
          <w:kern w:val="0"/>
          <w:sz w:val="24"/>
          <w:szCs w:val="24"/>
          <w:lang w:val="en-US" w:eastAsia="zh-CN" w:bidi="ar-SA"/>
        </w:rPr>
        <w:t>13707302405</w:t>
      </w:r>
      <w:r>
        <w:rPr>
          <w:rFonts w:hint="default" w:ascii="Times New Roman" w:hAnsi="Times New Roman" w:eastAsia="仿宋_GB2312" w:cs="Times New Roman"/>
          <w:snapToGrid/>
          <w:color w:val="000000"/>
          <w:kern w:val="0"/>
          <w:sz w:val="24"/>
          <w:szCs w:val="24"/>
          <w:lang w:val="en-US" w:eastAsia="zh-CN" w:bidi="ar-SA"/>
        </w:rPr>
        <w:t>5</w:t>
      </w:r>
      <w:r>
        <w:rPr>
          <w:rFonts w:hint="eastAsia" w:ascii="Times New Roman" w:hAnsi="Times New Roman" w:eastAsia="仿宋_GB2312" w:cs="Times New Roman"/>
          <w:snapToGrid/>
          <w:color w:val="000000"/>
          <w:kern w:val="0"/>
          <w:sz w:val="24"/>
          <w:szCs w:val="24"/>
          <w:lang w:val="en-US" w:eastAsia="zh-CN" w:bidi="ar-SA"/>
        </w:rPr>
        <w:t xml:space="preserve">  </w:t>
      </w:r>
    </w:p>
    <w:p>
      <w:pPr>
        <w:widowControl w:val="0"/>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单位负责人签字：</w:t>
      </w:r>
      <w:r>
        <w:rPr>
          <w:rFonts w:hint="eastAsia" w:eastAsia="仿宋_GB2312" w:cs="Times New Roman"/>
          <w:snapToGrid/>
          <w:color w:val="000000"/>
          <w:kern w:val="0"/>
          <w:sz w:val="24"/>
          <w:szCs w:val="24"/>
          <w:lang w:val="en-US" w:eastAsia="zh-CN" w:bidi="ar-SA"/>
        </w:rPr>
        <w:t>李健</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w:t>
      </w:r>
      <w:r>
        <w:rPr>
          <w:rFonts w:hint="eastAsia" w:eastAsia="仿宋_GB2312"/>
          <w:sz w:val="32"/>
          <w:szCs w:val="32"/>
          <w:u w:val="single"/>
          <w:lang w:val="en-US" w:eastAsia="zh-CN"/>
        </w:rPr>
        <w:t>岳阳市云溪区巴陵石化协作协调事务中心</w:t>
      </w:r>
      <w:r>
        <w:rPr>
          <w:rFonts w:hint="eastAsia" w:eastAsia="仿宋_GB2312"/>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129001</w:t>
      </w:r>
      <w:r>
        <w:rPr>
          <w:rFonts w:hint="eastAsia" w:eastAsia="仿宋_GB2312"/>
          <w:spacing w:val="20"/>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 xml:space="preserve"> 年 </w:t>
      </w:r>
      <w:r>
        <w:rPr>
          <w:rFonts w:hint="eastAsia" w:eastAsia="仿宋_GB2312"/>
          <w:sz w:val="32"/>
          <w:lang w:val="en-US" w:eastAsia="zh-CN"/>
        </w:rPr>
        <w:t>6</w:t>
      </w:r>
      <w:r>
        <w:rPr>
          <w:rFonts w:hint="eastAsia" w:eastAsia="仿宋_GB2312"/>
          <w:sz w:val="32"/>
        </w:rPr>
        <w:t xml:space="preserve"> 月 </w:t>
      </w:r>
      <w:r>
        <w:rPr>
          <w:rFonts w:hint="eastAsia" w:eastAsia="仿宋_GB2312"/>
          <w:sz w:val="32"/>
          <w:lang w:val="en-US" w:eastAsia="zh-CN"/>
        </w:rPr>
        <w:t>20</w:t>
      </w:r>
      <w:r>
        <w:rPr>
          <w:rFonts w:hint="eastAsia" w:eastAsia="仿宋_GB2312"/>
          <w:sz w:val="32"/>
        </w:rPr>
        <w:t xml:space="preserve">  日</w:t>
      </w:r>
    </w:p>
    <w:p>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rPr>
        <w:t>岳阳市云溪财政</w:t>
      </w:r>
      <w:r>
        <w:rPr>
          <w:rFonts w:hint="eastAsia" w:eastAsia="仿宋_GB2312"/>
          <w:sz w:val="32"/>
          <w:szCs w:val="32"/>
        </w:rPr>
        <w:t>局（制）</w:t>
      </w:r>
    </w:p>
    <w:p>
      <w:pPr>
        <w:pStyle w:val="14"/>
        <w:rPr>
          <w:rFonts w:hint="eastAsia" w:eastAsia="仿宋_GB2312"/>
          <w:sz w:val="32"/>
          <w:szCs w:val="32"/>
        </w:rPr>
      </w:pPr>
    </w:p>
    <w:p>
      <w:pPr>
        <w:pStyle w:val="14"/>
        <w:rPr>
          <w:rFonts w:hint="eastAsia" w:eastAsia="仿宋_GB2312"/>
          <w:sz w:val="32"/>
          <w:szCs w:val="32"/>
        </w:rPr>
      </w:pPr>
    </w:p>
    <w:p>
      <w:pPr>
        <w:pStyle w:val="14"/>
        <w:rPr>
          <w:rFonts w:hint="eastAsia" w:eastAsia="仿宋_GB2312"/>
          <w:sz w:val="32"/>
          <w:szCs w:val="32"/>
        </w:rPr>
      </w:pPr>
    </w:p>
    <w:p>
      <w:pPr>
        <w:pStyle w:val="14"/>
        <w:rPr>
          <w:rFonts w:hint="eastAsia" w:eastAsia="仿宋_GB2312"/>
          <w:sz w:val="32"/>
          <w:szCs w:val="32"/>
        </w:rPr>
      </w:pPr>
    </w:p>
    <w:p>
      <w:pPr>
        <w:pStyle w:val="14"/>
        <w:rPr>
          <w:rFonts w:hint="eastAsia" w:eastAsia="仿宋_GB2312"/>
          <w:sz w:val="32"/>
          <w:szCs w:val="32"/>
        </w:rPr>
      </w:pPr>
    </w:p>
    <w:p>
      <w:pPr>
        <w:pStyle w:val="14"/>
        <w:rPr>
          <w:rFonts w:hint="eastAsia" w:eastAsia="仿宋_GB2312"/>
          <w:sz w:val="32"/>
          <w:szCs w:val="32"/>
        </w:rPr>
        <w:sectPr>
          <w:pgSz w:w="11906" w:h="16838"/>
          <w:pgMar w:top="1588" w:right="1588" w:bottom="1588" w:left="1588" w:header="851" w:footer="992" w:gutter="0"/>
          <w:pgNumType w:start="1"/>
          <w:cols w:space="720" w:num="1"/>
          <w:titlePg/>
          <w:docGrid w:type="linesAndChars" w:linePitch="602" w:charSpace="-782"/>
        </w:sectPr>
      </w:pPr>
    </w:p>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整体支出绩效自评表</w:t>
      </w:r>
    </w:p>
    <w:tbl>
      <w:tblPr>
        <w:tblW w:w="959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07"/>
        <w:gridCol w:w="529"/>
        <w:gridCol w:w="844"/>
        <w:gridCol w:w="1000"/>
        <w:gridCol w:w="1170"/>
        <w:gridCol w:w="960"/>
        <w:gridCol w:w="310"/>
        <w:gridCol w:w="700"/>
        <w:gridCol w:w="700"/>
        <w:gridCol w:w="1000"/>
        <w:gridCol w:w="990"/>
        <w:gridCol w:w="7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1980" w:type="dxa"/>
            <w:gridSpan w:val="3"/>
            <w:tcBorders>
              <w:top w:val="nil"/>
              <w:left w:val="nil"/>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预算部门名称</w:t>
            </w:r>
          </w:p>
        </w:tc>
        <w:tc>
          <w:tcPr>
            <w:tcW w:w="7610" w:type="dxa"/>
            <w:gridSpan w:val="9"/>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岳阳市云溪区巴陵石化协作协调事务中心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980" w:type="dxa"/>
            <w:gridSpan w:val="3"/>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ascii="Microsoft YaHei UI" w:hAnsi="Microsoft YaHei UI" w:eastAsia="Microsoft YaHei UI" w:cs="Microsoft YaHei UI"/>
                <w:i w:val="0"/>
                <w:iCs w:val="0"/>
                <w:color w:val="000000"/>
                <w:sz w:val="20"/>
                <w:szCs w:val="20"/>
                <w:u w:val="none"/>
              </w:rPr>
            </w:pPr>
            <w:r>
              <w:rPr>
                <w:rFonts w:hint="default" w:ascii="Microsoft YaHei UI" w:hAnsi="Microsoft YaHei UI" w:eastAsia="Microsoft YaHei UI" w:cs="Microsoft YaHei UI"/>
                <w:i w:val="0"/>
                <w:iCs w:val="0"/>
                <w:color w:val="000000"/>
                <w:kern w:val="0"/>
                <w:sz w:val="20"/>
                <w:szCs w:val="20"/>
                <w:u w:val="none"/>
                <w:bdr w:val="none" w:color="auto" w:sz="0" w:space="0"/>
                <w:lang w:val="en-US" w:eastAsia="zh-CN" w:bidi="ar"/>
              </w:rPr>
              <w:t>年度预算申请</w:t>
            </w:r>
            <w:r>
              <w:rPr>
                <w:rFonts w:hint="default" w:ascii="Microsoft YaHei UI" w:hAnsi="Microsoft YaHei UI" w:eastAsia="Microsoft YaHei UI" w:cs="Microsoft YaHei UI"/>
                <w:i w:val="0"/>
                <w:iCs w:val="0"/>
                <w:color w:val="000000"/>
                <w:kern w:val="0"/>
                <w:sz w:val="20"/>
                <w:szCs w:val="20"/>
                <w:u w:val="none"/>
                <w:bdr w:val="none" w:color="auto" w:sz="0" w:space="0"/>
                <w:lang w:val="en-US" w:eastAsia="zh-CN" w:bidi="ar"/>
              </w:rPr>
              <w:br w:type="textWrapping"/>
            </w:r>
            <w:r>
              <w:rPr>
                <w:rFonts w:hint="default" w:ascii="Microsoft YaHei UI" w:hAnsi="Microsoft YaHei UI" w:eastAsia="Microsoft YaHei UI" w:cs="Microsoft YaHei UI"/>
                <w:i w:val="0"/>
                <w:iCs w:val="0"/>
                <w:color w:val="000000"/>
                <w:kern w:val="0"/>
                <w:sz w:val="20"/>
                <w:szCs w:val="20"/>
                <w:u w:val="none"/>
                <w:bdr w:val="none" w:color="auto" w:sz="0" w:space="0"/>
                <w:lang w:val="en-US" w:eastAsia="zh-CN" w:bidi="ar"/>
              </w:rPr>
              <w:t>(万元)</w:t>
            </w:r>
          </w:p>
        </w:tc>
        <w:tc>
          <w:tcPr>
            <w:tcW w:w="100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nil"/>
              <w:right w:val="single" w:color="000000" w:sz="4" w:space="0"/>
            </w:tcBorders>
            <w:shd w:val="clear"/>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年初预算数(万元)</w:t>
            </w:r>
          </w:p>
        </w:tc>
        <w:tc>
          <w:tcPr>
            <w:tcW w:w="9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全年预算数（万元）</w:t>
            </w:r>
          </w:p>
        </w:tc>
        <w:tc>
          <w:tcPr>
            <w:tcW w:w="1710"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全年执行数（万元）</w:t>
            </w:r>
          </w:p>
        </w:tc>
        <w:tc>
          <w:tcPr>
            <w:tcW w:w="10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分值</w:t>
            </w:r>
          </w:p>
        </w:tc>
        <w:tc>
          <w:tcPr>
            <w:tcW w:w="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执行率</w:t>
            </w:r>
          </w:p>
        </w:tc>
        <w:tc>
          <w:tcPr>
            <w:tcW w:w="7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0"/>
                <w:szCs w:val="20"/>
                <w:u w:val="none"/>
              </w:rPr>
            </w:pPr>
            <w:r>
              <w:rPr>
                <w:rFonts w:hint="default" w:ascii="仿宋_GB2312" w:hAnsi="宋体" w:eastAsia="仿宋_GB2312" w:cs="仿宋_GB2312"/>
                <w:b/>
                <w:bCs/>
                <w:i w:val="0"/>
                <w:iCs w:val="0"/>
                <w:color w:val="000000"/>
                <w:kern w:val="0"/>
                <w:sz w:val="20"/>
                <w:szCs w:val="20"/>
                <w:u w:val="none"/>
                <w:bdr w:val="none" w:color="auto" w:sz="0" w:space="0"/>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980"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Microsoft YaHei UI" w:hAnsi="Microsoft YaHei UI" w:eastAsia="Microsoft YaHei UI" w:cs="Microsoft YaHei UI"/>
                <w:i w:val="0"/>
                <w:iCs w:val="0"/>
                <w:color w:val="000000"/>
                <w:sz w:val="20"/>
                <w:szCs w:val="20"/>
                <w:u w:val="none"/>
              </w:rPr>
            </w:pPr>
          </w:p>
        </w:tc>
        <w:tc>
          <w:tcPr>
            <w:tcW w:w="10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年度资金总额：</w:t>
            </w:r>
          </w:p>
        </w:tc>
        <w:tc>
          <w:tcPr>
            <w:tcW w:w="11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bdr w:val="none" w:color="auto" w:sz="0" w:space="0"/>
                <w:lang w:val="en-US" w:eastAsia="zh-CN" w:bidi="ar"/>
              </w:rPr>
              <w:t>119.95</w:t>
            </w:r>
          </w:p>
        </w:tc>
        <w:tc>
          <w:tcPr>
            <w:tcW w:w="9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bdr w:val="none" w:color="auto" w:sz="0" w:space="0"/>
                <w:lang w:val="en-US" w:eastAsia="zh-CN" w:bidi="ar"/>
              </w:rPr>
              <w:t>327.49</w:t>
            </w:r>
          </w:p>
        </w:tc>
        <w:tc>
          <w:tcPr>
            <w:tcW w:w="1710" w:type="dxa"/>
            <w:gridSpan w:val="3"/>
            <w:tcBorders>
              <w:top w:val="single" w:color="000000" w:sz="4" w:space="0"/>
              <w:left w:val="nil"/>
              <w:bottom w:val="single" w:color="000000" w:sz="4" w:space="0"/>
              <w:right w:val="nil"/>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bdr w:val="none" w:color="auto" w:sz="0" w:space="0"/>
                <w:lang w:val="en-US" w:eastAsia="zh-CN" w:bidi="ar"/>
              </w:rPr>
              <w:t>327.49</w:t>
            </w:r>
          </w:p>
        </w:tc>
        <w:tc>
          <w:tcPr>
            <w:tcW w:w="10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w:t>
            </w:r>
          </w:p>
        </w:tc>
        <w:tc>
          <w:tcPr>
            <w:tcW w:w="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100.00%</w:t>
            </w:r>
          </w:p>
        </w:tc>
        <w:tc>
          <w:tcPr>
            <w:tcW w:w="7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trPr>
        <w:tc>
          <w:tcPr>
            <w:tcW w:w="1980"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Microsoft YaHei UI" w:hAnsi="Microsoft YaHei UI" w:eastAsia="Microsoft YaHei UI" w:cs="Microsoft YaHei UI"/>
                <w:i w:val="0"/>
                <w:iCs w:val="0"/>
                <w:color w:val="000000"/>
                <w:sz w:val="20"/>
                <w:szCs w:val="20"/>
                <w:u w:val="none"/>
              </w:rPr>
            </w:pPr>
          </w:p>
        </w:tc>
        <w:tc>
          <w:tcPr>
            <w:tcW w:w="4840" w:type="dxa"/>
            <w:gridSpan w:val="6"/>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按收入性质分：</w:t>
            </w:r>
          </w:p>
        </w:tc>
        <w:tc>
          <w:tcPr>
            <w:tcW w:w="2770"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按支出性质分：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1980"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Microsoft YaHei UI" w:hAnsi="Microsoft YaHei UI" w:eastAsia="Microsoft YaHei UI" w:cs="Microsoft YaHei UI"/>
                <w:i w:val="0"/>
                <w:iCs w:val="0"/>
                <w:color w:val="000000"/>
                <w:sz w:val="20"/>
                <w:szCs w:val="20"/>
                <w:u w:val="none"/>
              </w:rPr>
            </w:pPr>
          </w:p>
        </w:tc>
        <w:tc>
          <w:tcPr>
            <w:tcW w:w="10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一般公共预算：</w:t>
            </w:r>
          </w:p>
        </w:tc>
        <w:tc>
          <w:tcPr>
            <w:tcW w:w="3840" w:type="dxa"/>
            <w:gridSpan w:val="5"/>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bdr w:val="none" w:color="auto" w:sz="0" w:space="0"/>
                <w:lang w:val="en-US" w:eastAsia="zh-CN" w:bidi="ar"/>
              </w:rPr>
              <w:t>318.73</w:t>
            </w:r>
          </w:p>
        </w:tc>
        <w:tc>
          <w:tcPr>
            <w:tcW w:w="1000" w:type="dxa"/>
            <w:vMerge w:val="restart"/>
            <w:tcBorders>
              <w:top w:val="single" w:color="000000" w:sz="4" w:space="0"/>
              <w:left w:val="single" w:color="000000" w:sz="4" w:space="0"/>
              <w:bottom w:val="nil"/>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其中:基本支出：</w:t>
            </w:r>
          </w:p>
        </w:tc>
        <w:tc>
          <w:tcPr>
            <w:tcW w:w="1770" w:type="dxa"/>
            <w:gridSpan w:val="2"/>
            <w:vMerge w:val="restart"/>
            <w:tcBorders>
              <w:top w:val="single" w:color="000000" w:sz="4" w:space="0"/>
              <w:left w:val="nil"/>
              <w:bottom w:val="nil"/>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117.85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1980"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Microsoft YaHei UI" w:hAnsi="Microsoft YaHei UI" w:eastAsia="Microsoft YaHei UI" w:cs="Microsoft YaHei UI"/>
                <w:i w:val="0"/>
                <w:iCs w:val="0"/>
                <w:color w:val="000000"/>
                <w:sz w:val="20"/>
                <w:szCs w:val="20"/>
                <w:u w:val="none"/>
              </w:rPr>
            </w:pPr>
          </w:p>
        </w:tc>
        <w:tc>
          <w:tcPr>
            <w:tcW w:w="10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政府性基金拨款：</w:t>
            </w:r>
          </w:p>
        </w:tc>
        <w:tc>
          <w:tcPr>
            <w:tcW w:w="3840" w:type="dxa"/>
            <w:gridSpan w:val="5"/>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bdr w:val="none" w:color="auto" w:sz="0" w:space="0"/>
                <w:lang w:val="en-US" w:eastAsia="zh-CN" w:bidi="ar"/>
              </w:rPr>
              <w:t>0.00</w:t>
            </w:r>
          </w:p>
        </w:tc>
        <w:tc>
          <w:tcPr>
            <w:tcW w:w="1000" w:type="dxa"/>
            <w:vMerge w:val="continue"/>
            <w:tcBorders>
              <w:top w:val="single" w:color="000000" w:sz="4" w:space="0"/>
              <w:left w:val="single" w:color="000000" w:sz="4" w:space="0"/>
              <w:bottom w:val="nil"/>
              <w:right w:val="single" w:color="000000" w:sz="4" w:space="0"/>
            </w:tcBorders>
            <w:shd w:val="clear"/>
            <w:vAlign w:val="center"/>
          </w:tcPr>
          <w:p>
            <w:pPr>
              <w:jc w:val="center"/>
              <w:rPr>
                <w:rFonts w:hint="eastAsia" w:ascii="宋体" w:hAnsi="宋体" w:eastAsia="宋体" w:cs="宋体"/>
                <w:b/>
                <w:bCs/>
                <w:i w:val="0"/>
                <w:iCs w:val="0"/>
                <w:color w:val="000000"/>
                <w:sz w:val="20"/>
                <w:szCs w:val="20"/>
                <w:u w:val="none"/>
              </w:rPr>
            </w:pPr>
          </w:p>
        </w:tc>
        <w:tc>
          <w:tcPr>
            <w:tcW w:w="1770" w:type="dxa"/>
            <w:gridSpan w:val="2"/>
            <w:vMerge w:val="continue"/>
            <w:tcBorders>
              <w:top w:val="single" w:color="000000" w:sz="4" w:space="0"/>
              <w:left w:val="nil"/>
              <w:bottom w:val="nil"/>
              <w:right w:val="single" w:color="000000" w:sz="4" w:space="0"/>
            </w:tcBorders>
            <w:shd w:val="clear"/>
            <w:vAlign w:val="center"/>
          </w:tcPr>
          <w:p>
            <w:pPr>
              <w:jc w:val="center"/>
              <w:rPr>
                <w:rFonts w:hint="default" w:ascii="Times New Roman" w:hAnsi="Times New Roman" w:eastAsia="宋体"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1980"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Microsoft YaHei UI" w:hAnsi="Microsoft YaHei UI" w:eastAsia="Microsoft YaHei UI" w:cs="Microsoft YaHei UI"/>
                <w:i w:val="0"/>
                <w:iCs w:val="0"/>
                <w:color w:val="000000"/>
                <w:sz w:val="20"/>
                <w:szCs w:val="20"/>
                <w:u w:val="none"/>
              </w:rPr>
            </w:pPr>
          </w:p>
        </w:tc>
        <w:tc>
          <w:tcPr>
            <w:tcW w:w="10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纳入专户管理的非税收入拨款：</w:t>
            </w:r>
          </w:p>
        </w:tc>
        <w:tc>
          <w:tcPr>
            <w:tcW w:w="3840" w:type="dxa"/>
            <w:gridSpan w:val="5"/>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bdr w:val="none" w:color="auto" w:sz="0" w:space="0"/>
                <w:lang w:val="en-US" w:eastAsia="zh-CN" w:bidi="ar"/>
              </w:rPr>
              <w:t>0.0</w:t>
            </w:r>
          </w:p>
        </w:tc>
        <w:tc>
          <w:tcPr>
            <w:tcW w:w="1000" w:type="dxa"/>
            <w:vMerge w:val="restart"/>
            <w:tcBorders>
              <w:top w:val="single" w:color="000000" w:sz="4" w:space="0"/>
              <w:left w:val="single" w:color="000000" w:sz="4" w:space="0"/>
              <w:bottom w:val="nil"/>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项目支出：</w:t>
            </w:r>
          </w:p>
        </w:tc>
        <w:tc>
          <w:tcPr>
            <w:tcW w:w="1770" w:type="dxa"/>
            <w:gridSpan w:val="2"/>
            <w:vMerge w:val="restart"/>
            <w:tcBorders>
              <w:top w:val="single" w:color="000000" w:sz="4" w:space="0"/>
              <w:left w:val="nil"/>
              <w:bottom w:val="nil"/>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209.64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1980"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Microsoft YaHei UI" w:hAnsi="Microsoft YaHei UI" w:eastAsia="Microsoft YaHei UI" w:cs="Microsoft YaHei UI"/>
                <w:i w:val="0"/>
                <w:iCs w:val="0"/>
                <w:color w:val="000000"/>
                <w:sz w:val="20"/>
                <w:szCs w:val="20"/>
                <w:u w:val="none"/>
              </w:rPr>
            </w:pPr>
          </w:p>
        </w:tc>
        <w:tc>
          <w:tcPr>
            <w:tcW w:w="1000" w:type="dxa"/>
            <w:tcBorders>
              <w:top w:val="single" w:color="000000" w:sz="4" w:space="0"/>
              <w:left w:val="single" w:color="000000" w:sz="4" w:space="0"/>
              <w:bottom w:val="nil"/>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其他资金</w:t>
            </w:r>
          </w:p>
        </w:tc>
        <w:tc>
          <w:tcPr>
            <w:tcW w:w="3840" w:type="dxa"/>
            <w:gridSpan w:val="5"/>
            <w:tcBorders>
              <w:top w:val="single" w:color="000000" w:sz="4" w:space="0"/>
              <w:left w:val="single" w:color="000000" w:sz="4" w:space="0"/>
              <w:bottom w:val="nil"/>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bdr w:val="none" w:color="auto" w:sz="0" w:space="0"/>
                <w:lang w:val="en-US" w:eastAsia="zh-CN" w:bidi="ar"/>
              </w:rPr>
              <w:t>8.76</w:t>
            </w:r>
          </w:p>
        </w:tc>
        <w:tc>
          <w:tcPr>
            <w:tcW w:w="1000" w:type="dxa"/>
            <w:vMerge w:val="continue"/>
            <w:tcBorders>
              <w:top w:val="single" w:color="000000" w:sz="4" w:space="0"/>
              <w:left w:val="single" w:color="000000" w:sz="4" w:space="0"/>
              <w:bottom w:val="nil"/>
              <w:right w:val="single" w:color="000000" w:sz="4" w:space="0"/>
            </w:tcBorders>
            <w:shd w:val="clear"/>
            <w:vAlign w:val="center"/>
          </w:tcPr>
          <w:p>
            <w:pPr>
              <w:jc w:val="center"/>
              <w:rPr>
                <w:rFonts w:hint="eastAsia" w:ascii="宋体" w:hAnsi="宋体" w:eastAsia="宋体" w:cs="宋体"/>
                <w:b/>
                <w:bCs/>
                <w:i w:val="0"/>
                <w:iCs w:val="0"/>
                <w:color w:val="000000"/>
                <w:sz w:val="20"/>
                <w:szCs w:val="20"/>
                <w:u w:val="none"/>
              </w:rPr>
            </w:pPr>
          </w:p>
        </w:tc>
        <w:tc>
          <w:tcPr>
            <w:tcW w:w="1770" w:type="dxa"/>
            <w:gridSpan w:val="2"/>
            <w:vMerge w:val="continue"/>
            <w:tcBorders>
              <w:top w:val="single" w:color="000000" w:sz="4" w:space="0"/>
              <w:left w:val="nil"/>
              <w:bottom w:val="nil"/>
              <w:right w:val="single" w:color="000000" w:sz="4" w:space="0"/>
            </w:tcBorders>
            <w:shd w:val="clear"/>
            <w:vAlign w:val="center"/>
          </w:tcPr>
          <w:p>
            <w:pPr>
              <w:jc w:val="center"/>
              <w:rPr>
                <w:rFonts w:hint="default" w:ascii="Times New Roman" w:hAnsi="Times New Roman" w:eastAsia="宋体"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80" w:type="dxa"/>
            <w:gridSpan w:val="3"/>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0"/>
                <w:szCs w:val="20"/>
                <w:u w:val="none"/>
              </w:rPr>
            </w:pPr>
            <w:r>
              <w:rPr>
                <w:rFonts w:hint="default" w:ascii="仿宋_GB2312" w:hAnsi="宋体" w:eastAsia="仿宋_GB2312" w:cs="仿宋_GB2312"/>
                <w:b/>
                <w:bCs/>
                <w:i w:val="0"/>
                <w:iCs w:val="0"/>
                <w:color w:val="000000"/>
                <w:kern w:val="0"/>
                <w:sz w:val="20"/>
                <w:szCs w:val="20"/>
                <w:u w:val="none"/>
                <w:bdr w:val="none" w:color="auto" w:sz="0" w:space="0"/>
                <w:lang w:val="en-US" w:eastAsia="zh-CN" w:bidi="ar"/>
              </w:rPr>
              <w:t>年度总体目标</w:t>
            </w:r>
          </w:p>
        </w:tc>
        <w:tc>
          <w:tcPr>
            <w:tcW w:w="4840" w:type="dxa"/>
            <w:gridSpan w:val="6"/>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0"/>
                <w:szCs w:val="20"/>
                <w:u w:val="none"/>
              </w:rPr>
            </w:pPr>
            <w:r>
              <w:rPr>
                <w:rFonts w:hint="default" w:ascii="仿宋_GB2312" w:hAnsi="宋体" w:eastAsia="仿宋_GB2312" w:cs="仿宋_GB2312"/>
                <w:b/>
                <w:bCs/>
                <w:i w:val="0"/>
                <w:iCs w:val="0"/>
                <w:color w:val="000000"/>
                <w:kern w:val="0"/>
                <w:sz w:val="20"/>
                <w:szCs w:val="20"/>
                <w:u w:val="none"/>
                <w:bdr w:val="none" w:color="auto" w:sz="0" w:space="0"/>
                <w:lang w:val="en-US" w:eastAsia="zh-CN" w:bidi="ar"/>
              </w:rPr>
              <w:t>预期目标</w:t>
            </w:r>
          </w:p>
        </w:tc>
        <w:tc>
          <w:tcPr>
            <w:tcW w:w="2770" w:type="dxa"/>
            <w:gridSpan w:val="3"/>
            <w:tcBorders>
              <w:top w:val="single" w:color="000000" w:sz="4" w:space="0"/>
              <w:left w:val="nil"/>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1980"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b/>
                <w:bCs/>
                <w:i w:val="0"/>
                <w:iCs w:val="0"/>
                <w:color w:val="000000"/>
                <w:sz w:val="20"/>
                <w:szCs w:val="20"/>
                <w:u w:val="none"/>
              </w:rPr>
            </w:pPr>
          </w:p>
        </w:tc>
        <w:tc>
          <w:tcPr>
            <w:tcW w:w="4840" w:type="dxa"/>
            <w:gridSpan w:val="6"/>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联合巴陵石化协调办、各事务部协调负责人，组织大厂周边镇（街道）分管副职、村（社区）书记，采取“引进来”“走出去”等方式，聘请省市专家开展联合培训2次以上，就矛盾协调、隐患排查、征地拆迁相关文件组织学习，通过联训，厂地双方协调，提升了解决矛盾纠纷，化解社会风险的能力；2、定期或不定期与巴陵石化公司、涉企镇村组联合，紧盯管网布设、化学品生产加工等重点领域开展安全隐患排查；3、为确保安全稳定，组成工作专班，与巴陵石化公司协调办、各事务部协调室，建立起信息互通机制、人员管控机制、联防联处机制，同时建立重点涉厂涉访人员管理台账，坚持重大矛盾纠纷调处提前研判、主动走访、定期调度、倒逼结案。</w:t>
            </w:r>
            <w:r>
              <w:rPr>
                <w:rStyle w:val="17"/>
                <w:rFonts w:eastAsia="仿宋_GB2312"/>
                <w:bdr w:val="none" w:color="auto" w:sz="0" w:space="0"/>
                <w:lang w:val="en-US" w:eastAsia="zh-CN" w:bidi="ar"/>
              </w:rPr>
              <w:t xml:space="preserve">       </w:t>
            </w:r>
          </w:p>
        </w:tc>
        <w:tc>
          <w:tcPr>
            <w:tcW w:w="2770" w:type="dxa"/>
            <w:gridSpan w:val="3"/>
            <w:tcBorders>
              <w:top w:val="single" w:color="000000" w:sz="4" w:space="0"/>
              <w:left w:val="nil"/>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按照上级部门要求全面完成年度工作目标。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绩效指标</w:t>
            </w:r>
          </w:p>
        </w:tc>
        <w:tc>
          <w:tcPr>
            <w:tcW w:w="660" w:type="dxa"/>
            <w:vMerge w:val="restart"/>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一级指标</w:t>
            </w:r>
          </w:p>
        </w:tc>
        <w:tc>
          <w:tcPr>
            <w:tcW w:w="0" w:type="auto"/>
            <w:vMerge w:val="restart"/>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二级指标</w:t>
            </w:r>
          </w:p>
        </w:tc>
        <w:tc>
          <w:tcPr>
            <w:tcW w:w="100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三级指标</w:t>
            </w:r>
          </w:p>
        </w:tc>
        <w:tc>
          <w:tcPr>
            <w:tcW w:w="117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年度指标值</w:t>
            </w:r>
          </w:p>
        </w:tc>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实际完成值</w:t>
            </w:r>
          </w:p>
        </w:tc>
        <w:tc>
          <w:tcPr>
            <w:tcW w:w="70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分值</w:t>
            </w:r>
          </w:p>
        </w:tc>
        <w:tc>
          <w:tcPr>
            <w:tcW w:w="70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bdr w:val="none" w:color="auto" w:sz="0" w:space="0"/>
                <w:lang w:val="en-US" w:eastAsia="zh-CN" w:bidi="ar"/>
              </w:rPr>
              <w:t>得分</w:t>
            </w:r>
          </w:p>
        </w:tc>
        <w:tc>
          <w:tcPr>
            <w:tcW w:w="0" w:type="auto"/>
            <w:gridSpan w:val="3"/>
            <w:vMerge w:val="restart"/>
            <w:tcBorders>
              <w:top w:val="single" w:color="000000" w:sz="4" w:space="0"/>
              <w:left w:val="nil"/>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b/>
                <w:bCs/>
                <w:i w:val="0"/>
                <w:iCs w:val="0"/>
                <w:color w:val="000000"/>
                <w:sz w:val="16"/>
                <w:szCs w:val="16"/>
                <w:u w:val="none"/>
              </w:rPr>
            </w:pPr>
          </w:p>
        </w:tc>
        <w:tc>
          <w:tcPr>
            <w:tcW w:w="660" w:type="dxa"/>
            <w:vMerge w:val="continue"/>
            <w:tcBorders>
              <w:top w:val="single" w:color="000000" w:sz="4" w:space="0"/>
              <w:left w:val="single" w:color="000000" w:sz="4" w:space="0"/>
              <w:bottom w:val="single" w:color="000000" w:sz="4" w:space="0"/>
              <w:right w:val="nil"/>
            </w:tcBorders>
            <w:shd w:val="clear"/>
            <w:vAlign w:val="center"/>
          </w:tcPr>
          <w:p>
            <w:pPr>
              <w:jc w:val="center"/>
              <w:rPr>
                <w:rFonts w:hint="default" w:ascii="仿宋_GB2312" w:hAnsi="宋体" w:eastAsia="仿宋_GB2312" w:cs="仿宋_GB2312"/>
                <w:b/>
                <w:bCs/>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nil"/>
            </w:tcBorders>
            <w:shd w:val="clear"/>
            <w:noWrap/>
            <w:vAlign w:val="center"/>
          </w:tcPr>
          <w:p>
            <w:pPr>
              <w:jc w:val="center"/>
              <w:rPr>
                <w:rFonts w:hint="eastAsia" w:ascii="宋体" w:hAnsi="宋体" w:eastAsia="宋体" w:cs="宋体"/>
                <w:b/>
                <w:bCs/>
                <w:i w:val="0"/>
                <w:iCs w:val="0"/>
                <w:color w:val="000000"/>
                <w:sz w:val="16"/>
                <w:szCs w:val="16"/>
                <w:u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b/>
                <w:bCs/>
                <w:i w:val="0"/>
                <w:iCs w:val="0"/>
                <w:color w:val="000000"/>
                <w:sz w:val="16"/>
                <w:szCs w:val="16"/>
                <w:u w:val="none"/>
              </w:rPr>
            </w:pPr>
          </w:p>
        </w:tc>
        <w:tc>
          <w:tcPr>
            <w:tcW w:w="117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b/>
                <w:bCs/>
                <w:i w:val="0"/>
                <w:iCs w:val="0"/>
                <w:color w:val="000000"/>
                <w:sz w:val="16"/>
                <w:szCs w:val="16"/>
                <w:u w:val="none"/>
              </w:rPr>
            </w:pPr>
          </w:p>
        </w:tc>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bCs/>
                <w:i w:val="0"/>
                <w:iCs w:val="0"/>
                <w:color w:val="000000"/>
                <w:sz w:val="16"/>
                <w:szCs w:val="16"/>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b/>
                <w:bCs/>
                <w:i w:val="0"/>
                <w:iCs w:val="0"/>
                <w:color w:val="000000"/>
                <w:sz w:val="16"/>
                <w:szCs w:val="16"/>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仿宋_GB2312" w:hAnsi="宋体" w:eastAsia="仿宋_GB2312" w:cs="仿宋_GB2312"/>
                <w:b/>
                <w:bCs/>
                <w:i w:val="0"/>
                <w:iCs w:val="0"/>
                <w:color w:val="000000"/>
                <w:sz w:val="16"/>
                <w:szCs w:val="16"/>
                <w:u w:val="none"/>
              </w:rPr>
            </w:pPr>
          </w:p>
        </w:tc>
        <w:tc>
          <w:tcPr>
            <w:tcW w:w="0" w:type="auto"/>
            <w:gridSpan w:val="3"/>
            <w:vMerge w:val="continue"/>
            <w:tcBorders>
              <w:top w:val="single" w:color="000000" w:sz="4" w:space="0"/>
              <w:left w:val="nil"/>
              <w:bottom w:val="nil"/>
              <w:right w:val="single" w:color="000000" w:sz="4" w:space="0"/>
            </w:tcBorders>
            <w:shd w:val="clear"/>
            <w:noWrap/>
            <w:vAlign w:val="center"/>
          </w:tcPr>
          <w:p>
            <w:pPr>
              <w:jc w:val="center"/>
              <w:rPr>
                <w:rFonts w:hint="eastAsia" w:ascii="宋体" w:hAnsi="宋体" w:eastAsia="宋体" w:cs="宋体"/>
                <w:b/>
                <w:bCs/>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bdr w:val="none" w:color="auto" w:sz="0" w:space="0"/>
                <w:lang w:val="en-US" w:eastAsia="zh-CN" w:bidi="ar"/>
              </w:rPr>
              <w:t>绩效指标</w:t>
            </w:r>
          </w:p>
        </w:tc>
        <w:tc>
          <w:tcPr>
            <w:tcW w:w="660" w:type="dxa"/>
            <w:vMerge w:val="restart"/>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bdr w:val="none" w:color="auto" w:sz="0" w:space="0"/>
                <w:lang w:val="en-US" w:eastAsia="zh-CN" w:bidi="ar"/>
              </w:rPr>
              <w:t>产出指标</w:t>
            </w: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数量指标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排查厂地矛盾纠纷、调处突发事件、推动征地拆迁</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40起</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56起</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20</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20</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vMerge w:val="continue"/>
            <w:tcBorders>
              <w:top w:val="single" w:color="000000" w:sz="4" w:space="0"/>
              <w:left w:val="single" w:color="000000" w:sz="4" w:space="0"/>
              <w:bottom w:val="single" w:color="000000" w:sz="4" w:space="0"/>
              <w:right w:val="nil"/>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质量指标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排查矛盾、推动征拆</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完成11个征地项目</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完成11个征地拆迁项目</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10</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10</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vMerge w:val="continue"/>
            <w:tcBorders>
              <w:top w:val="single" w:color="000000" w:sz="4" w:space="0"/>
              <w:left w:val="single" w:color="000000" w:sz="4" w:space="0"/>
              <w:bottom w:val="single" w:color="000000" w:sz="4" w:space="0"/>
              <w:right w:val="nil"/>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时效指标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工作任务周期</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一年</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一年</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10</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10</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vMerge w:val="restart"/>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bdr w:val="none" w:color="auto" w:sz="0" w:space="0"/>
                <w:lang w:val="en-US" w:eastAsia="zh-CN" w:bidi="ar"/>
              </w:rPr>
              <w:t>效益指标</w:t>
            </w: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经济效益指标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向巴陵公司争取资金</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100万元</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104万元</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10</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10</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vMerge w:val="continue"/>
            <w:tcBorders>
              <w:top w:val="single" w:color="000000" w:sz="4" w:space="0"/>
              <w:left w:val="single" w:color="000000" w:sz="4" w:space="0"/>
              <w:bottom w:val="single" w:color="000000" w:sz="4" w:space="0"/>
              <w:right w:val="nil"/>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社会效益指标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改造群众娱乐生活环境</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改造云街安居社区足球场</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云街安居社区足球场1个，争取物资200万元</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vMerge w:val="continue"/>
            <w:tcBorders>
              <w:top w:val="single" w:color="000000" w:sz="4" w:space="0"/>
              <w:left w:val="single" w:color="000000" w:sz="4" w:space="0"/>
              <w:bottom w:val="single" w:color="000000" w:sz="4" w:space="0"/>
              <w:right w:val="nil"/>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生态效益指标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减少环境污染</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减少碳排放、保护生态</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保护好生态环境</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vMerge w:val="continue"/>
            <w:tcBorders>
              <w:top w:val="single" w:color="000000" w:sz="4" w:space="0"/>
              <w:left w:val="single" w:color="000000" w:sz="4" w:space="0"/>
              <w:bottom w:val="single" w:color="000000" w:sz="4" w:space="0"/>
              <w:right w:val="nil"/>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可持续影响指标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服务好周边群众</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持续服务周边群众</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持续服务周边群众</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bdr w:val="none" w:color="auto" w:sz="0" w:space="0"/>
                <w:lang w:val="en-US" w:eastAsia="zh-CN" w:bidi="ar"/>
              </w:rPr>
              <w:t>满意度指标</w:t>
            </w: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服务对象满意度指标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周边居民满意程度</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95%</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98%</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vMerge w:val="restart"/>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bdr w:val="none" w:color="auto" w:sz="0" w:space="0"/>
                <w:lang w:val="en-US" w:eastAsia="zh-CN" w:bidi="ar"/>
              </w:rPr>
              <w:t>成本指标</w:t>
            </w: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经济成本指标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年度预算支出</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327.49万元</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327.49万元</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10</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10</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vMerge w:val="continue"/>
            <w:tcBorders>
              <w:top w:val="single" w:color="000000" w:sz="4" w:space="0"/>
              <w:left w:val="single" w:color="000000" w:sz="4" w:space="0"/>
              <w:bottom w:val="single" w:color="000000" w:sz="4" w:space="0"/>
              <w:right w:val="nil"/>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周边厂区和居民支持配合</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争取周边厂区和居民支持配合</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取得了周边大厂和群众支持</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vMerge w:val="continue"/>
            <w:tcBorders>
              <w:top w:val="single" w:color="000000" w:sz="4" w:space="0"/>
              <w:left w:val="single" w:color="000000" w:sz="4" w:space="0"/>
              <w:bottom w:val="single" w:color="000000" w:sz="4" w:space="0"/>
              <w:right w:val="nil"/>
            </w:tcBorders>
            <w:shd w:val="clear"/>
            <w:vAlign w:val="center"/>
          </w:tcPr>
          <w:p>
            <w:pPr>
              <w:rPr>
                <w:rFonts w:hint="default" w:ascii="仿宋_GB2312" w:hAnsi="宋体" w:eastAsia="仿宋_GB2312" w:cs="仿宋_GB2312"/>
                <w:i w:val="0"/>
                <w:iCs w:val="0"/>
                <w:color w:val="000000"/>
                <w:sz w:val="20"/>
                <w:szCs w:val="20"/>
                <w:u w:val="none"/>
              </w:rPr>
            </w:pPr>
          </w:p>
        </w:tc>
        <w:tc>
          <w:tcPr>
            <w:tcW w:w="660" w:type="dxa"/>
            <w:tcBorders>
              <w:top w:val="single" w:color="000000" w:sz="4" w:space="0"/>
              <w:left w:val="single" w:color="000000" w:sz="4" w:space="0"/>
              <w:bottom w:val="single" w:color="000000" w:sz="4" w:space="0"/>
              <w:right w:val="nil"/>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100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bdr w:val="none" w:color="auto" w:sz="0" w:space="0"/>
                <w:lang w:val="en-US" w:eastAsia="zh-CN" w:bidi="ar"/>
              </w:rPr>
              <w:t>碳排放量</w:t>
            </w:r>
          </w:p>
        </w:tc>
        <w:tc>
          <w:tcPr>
            <w:tcW w:w="1170" w:type="dxa"/>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碳排放增多</w:t>
            </w:r>
          </w:p>
        </w:tc>
        <w:tc>
          <w:tcPr>
            <w:tcW w:w="1270" w:type="dxa"/>
            <w:gridSpan w:val="2"/>
            <w:tcBorders>
              <w:top w:val="nil"/>
              <w:left w:val="single" w:color="000000" w:sz="4" w:space="0"/>
              <w:bottom w:val="single" w:color="000000" w:sz="4" w:space="0"/>
              <w:right w:val="nil"/>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尽力减少碳排放</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bdr w:val="none" w:color="auto" w:sz="0" w:space="0"/>
                <w:lang w:val="en-US" w:eastAsia="zh-CN" w:bidi="ar"/>
              </w:rPr>
              <w:t>5</w:t>
            </w:r>
          </w:p>
        </w:tc>
        <w:tc>
          <w:tcPr>
            <w:tcW w:w="0" w:type="auto"/>
            <w:gridSpan w:val="3"/>
            <w:tcBorders>
              <w:top w:val="single" w:color="000000" w:sz="4" w:space="0"/>
              <w:left w:val="nil"/>
              <w:bottom w:val="single" w:color="000000" w:sz="4" w:space="0"/>
              <w:right w:val="nil"/>
            </w:tcBorders>
            <w:shd w:val="clear"/>
            <w:noWrap/>
            <w:vAlign w:val="center"/>
          </w:tcPr>
          <w:p>
            <w:pPr>
              <w:jc w:val="center"/>
              <w:rPr>
                <w:rFonts w:hint="eastAsia" w:ascii="宋体" w:hAnsi="宋体" w:eastAsia="宋体" w:cs="宋体"/>
                <w:i w:val="0"/>
                <w:iCs w:val="0"/>
                <w:color w:val="000000"/>
                <w:sz w:val="22"/>
                <w:szCs w:val="22"/>
                <w:u w:val="none"/>
              </w:rPr>
            </w:pPr>
          </w:p>
        </w:tc>
      </w:tr>
    </w:tbl>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p>
    <w:p>
      <w:pPr>
        <w:pStyle w:val="12"/>
        <w:ind w:left="0" w:leftChars="0" w:firstLine="0" w:firstLineChars="0"/>
      </w:pPr>
    </w:p>
    <w:tbl>
      <w:tblPr>
        <w:tblStyle w:val="9"/>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1654"/>
        <w:gridCol w:w="3561"/>
        <w:gridCol w:w="1479"/>
        <w:gridCol w:w="3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lang w:eastAsia="zh-CN"/>
              </w:rPr>
              <w:t>张水军</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会计</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lang w:eastAsia="zh-CN"/>
              </w:rPr>
              <w:t>刘静</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eastAsia="zh-CN"/>
              </w:rPr>
              <w:t>副</w:t>
            </w:r>
            <w:r>
              <w:rPr>
                <w:rFonts w:hint="eastAsia" w:ascii="仿宋_GB2312" w:hAnsi="仿宋_GB2312" w:eastAsia="仿宋_GB2312" w:cs="仿宋_GB2312"/>
                <w:color w:val="000000"/>
                <w:sz w:val="24"/>
              </w:rPr>
              <w:t>主任</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r>
              <w:rPr>
                <w:rFonts w:hint="eastAsia" w:ascii="仿宋_GB2312" w:hAnsi="仿宋_GB2312" w:eastAsia="仿宋_GB2312" w:cs="仿宋_GB2312"/>
                <w:color w:val="000000"/>
                <w:sz w:val="24"/>
                <w:lang w:eastAsia="zh-CN"/>
              </w:rPr>
              <w:t>刘静</w:t>
            </w:r>
            <w:bookmarkStart w:id="0" w:name="_GoBack"/>
            <w:bookmarkEnd w:id="0"/>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rPr>
              <w:t xml:space="preserve">                                         部门（单位）负责人（签章）：</w:t>
            </w:r>
            <w:r>
              <w:rPr>
                <w:rFonts w:hint="eastAsia" w:ascii="仿宋_GB2312" w:hAnsi="仿宋_GB2312" w:eastAsia="仿宋_GB2312" w:cs="仿宋_GB2312"/>
                <w:color w:val="000000"/>
                <w:sz w:val="24"/>
                <w:lang w:eastAsia="zh-CN"/>
              </w:rPr>
              <w:t>李健</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4"/>
            <w:noWrap w:val="0"/>
            <w:vAlign w:val="center"/>
          </w:tcPr>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pPr>
        <w:pStyle w:val="12"/>
        <w:ind w:left="0" w:leftChars="0" w:firstLine="0" w:firstLineChars="0"/>
        <w:rPr>
          <w:rFonts w:hint="default" w:eastAsia="仿宋_GB2312"/>
          <w:lang w:val="en-US" w:eastAsia="zh-CN"/>
        </w:rPr>
        <w:sectPr>
          <w:pgSz w:w="11906" w:h="16838"/>
          <w:pgMar w:top="1440" w:right="1800" w:bottom="1440" w:left="1800" w:header="851" w:footer="992" w:gutter="0"/>
          <w:cols w:space="425" w:num="1"/>
          <w:docGrid w:type="lines" w:linePitch="312" w:charSpace="0"/>
        </w:sectPr>
      </w:pPr>
      <w:r>
        <w:rPr>
          <w:rFonts w:hint="eastAsia" w:eastAsia="仿宋_GB2312" w:cs="仿宋_GB2312"/>
          <w:bCs/>
          <w:sz w:val="28"/>
          <w:szCs w:val="28"/>
        </w:rPr>
        <w:t xml:space="preserve">填报人（签名）： </w:t>
      </w:r>
      <w:r>
        <w:rPr>
          <w:rFonts w:hint="eastAsia" w:eastAsia="仿宋_GB2312" w:cs="仿宋_GB2312"/>
          <w:bCs/>
          <w:sz w:val="28"/>
          <w:szCs w:val="28"/>
          <w:lang w:eastAsia="zh-CN"/>
        </w:rPr>
        <w:t>张水军</w:t>
      </w:r>
      <w:r>
        <w:rPr>
          <w:rFonts w:hint="eastAsia" w:eastAsia="仿宋_GB2312" w:cs="仿宋_GB2312"/>
          <w:bCs/>
          <w:sz w:val="28"/>
          <w:szCs w:val="28"/>
        </w:rPr>
        <w:t xml:space="preserve">           联系电话：</w:t>
      </w:r>
      <w:r>
        <w:rPr>
          <w:rFonts w:hint="eastAsia" w:eastAsia="仿宋_GB2312" w:cs="仿宋_GB2312"/>
          <w:bCs/>
          <w:sz w:val="28"/>
          <w:szCs w:val="28"/>
          <w:lang w:val="en-US" w:eastAsia="zh-CN"/>
        </w:rPr>
        <w:t>13975097338</w:t>
      </w:r>
    </w:p>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岳阳市云溪区巴陵石化协作协调事务中心</w:t>
      </w:r>
    </w:p>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部门整体支出绩效自评报告</w:t>
      </w:r>
    </w:p>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p>
    <w:p>
      <w:pPr>
        <w:pStyle w:val="4"/>
        <w:bidi w:val="0"/>
        <w:rPr>
          <w:rFonts w:hint="eastAsia"/>
        </w:rPr>
      </w:pPr>
      <w:r>
        <w:rPr>
          <w:rFonts w:hint="eastAsia"/>
        </w:rPr>
        <w:t>一、部门（单位）概况</w:t>
      </w:r>
    </w:p>
    <w:p>
      <w:pPr>
        <w:pStyle w:val="5"/>
        <w:bidi w:val="0"/>
        <w:rPr>
          <w:rFonts w:hint="default"/>
        </w:rPr>
      </w:pPr>
      <w:r>
        <w:rPr>
          <w:rFonts w:hint="default"/>
        </w:rPr>
        <w:t>（一）机构设置情况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楷体_GB2312" w:eastAsia="楷体_GB2312" w:cs="楷体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岳阳市云溪区巴陵石化协作协调事务中心是云溪区人民政府直属公益类事业单位，正科级。内设综合办公室1个。</w:t>
      </w:r>
    </w:p>
    <w:p>
      <w:pPr>
        <w:pStyle w:val="5"/>
        <w:bidi w:val="0"/>
        <w:rPr>
          <w:rFonts w:hint="default"/>
        </w:rPr>
      </w:pPr>
      <w:r>
        <w:rPr>
          <w:rFonts w:hint="eastAsia"/>
          <w:lang w:eastAsia="zh-CN"/>
        </w:rPr>
        <w:t>（</w:t>
      </w:r>
      <w:r>
        <w:rPr>
          <w:rFonts w:hint="eastAsia"/>
          <w:lang w:val="en-US" w:eastAsia="zh-CN"/>
        </w:rPr>
        <w:t>二</w:t>
      </w:r>
      <w:r>
        <w:rPr>
          <w:rFonts w:hint="eastAsia"/>
          <w:lang w:eastAsia="zh-CN"/>
        </w:rPr>
        <w:t>）</w:t>
      </w:r>
      <w:r>
        <w:rPr>
          <w:rFonts w:hint="default"/>
        </w:rPr>
        <w:t>人员编制情况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2023年末实有人数8人。其中：在职在编8人。</w:t>
      </w:r>
    </w:p>
    <w:p>
      <w:pPr>
        <w:pStyle w:val="5"/>
        <w:bidi w:val="0"/>
        <w:rPr>
          <w:rFonts w:hint="default"/>
        </w:rPr>
      </w:pPr>
      <w:r>
        <w:rPr>
          <w:rFonts w:hint="eastAsia"/>
          <w:lang w:eastAsia="zh-CN"/>
        </w:rPr>
        <w:t>（</w:t>
      </w:r>
      <w:r>
        <w:rPr>
          <w:rFonts w:hint="eastAsia"/>
          <w:lang w:val="en-US" w:eastAsia="zh-CN"/>
        </w:rPr>
        <w:t>三</w:t>
      </w:r>
      <w:r>
        <w:rPr>
          <w:rFonts w:hint="eastAsia"/>
          <w:lang w:eastAsia="zh-CN"/>
        </w:rPr>
        <w:t>）</w:t>
      </w:r>
      <w:r>
        <w:rPr>
          <w:rFonts w:hint="default"/>
        </w:rPr>
        <w:t>主要职能职责</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w:t>
      </w:r>
      <w:r>
        <w:rPr>
          <w:rFonts w:hint="default" w:ascii="仿宋_GB2312" w:hAnsi="仿宋_GB2312" w:eastAsia="仿宋_GB2312" w:cs="仿宋_GB2312"/>
          <w:b w:val="0"/>
          <w:bCs w:val="0"/>
          <w:color w:val="auto"/>
          <w:sz w:val="32"/>
          <w:szCs w:val="32"/>
          <w:lang w:val="en-US" w:eastAsia="zh-CN"/>
        </w:rPr>
        <w:t>、贯彻执行国家、省、市、区有关经济技术联合，特别是厂地协作的政策、法规及决定；负责巴陵石化公司与云溪区的经济技术协作工作。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w:t>
      </w:r>
      <w:r>
        <w:rPr>
          <w:rFonts w:hint="default" w:ascii="仿宋_GB2312" w:hAnsi="仿宋_GB2312" w:eastAsia="仿宋_GB2312" w:cs="仿宋_GB2312"/>
          <w:b w:val="0"/>
          <w:bCs w:val="0"/>
          <w:color w:val="auto"/>
          <w:sz w:val="32"/>
          <w:szCs w:val="32"/>
          <w:lang w:val="en-US" w:eastAsia="zh-CN"/>
        </w:rPr>
        <w:t>、贯彻执行区委、区人民政府“工业立区”和“厂地一体化”发展战略，为巴陵石化公司落实我区改制企业提供服务。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w:t>
      </w:r>
      <w:r>
        <w:rPr>
          <w:rFonts w:hint="default" w:ascii="仿宋_GB2312" w:hAnsi="仿宋_GB2312" w:eastAsia="仿宋_GB2312" w:cs="仿宋_GB2312"/>
          <w:b w:val="0"/>
          <w:bCs w:val="0"/>
          <w:color w:val="auto"/>
          <w:sz w:val="32"/>
          <w:szCs w:val="32"/>
          <w:lang w:val="en-US" w:eastAsia="zh-CN"/>
        </w:rPr>
        <w:t>、负责宣传、落实区委、区人民政府招商引资和厂地协作优惠政策，大力开展招商引资和厂地协作活动，努力培植新兴主体财源。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w:t>
      </w:r>
      <w:r>
        <w:rPr>
          <w:rFonts w:hint="default" w:ascii="仿宋_GB2312" w:hAnsi="仿宋_GB2312" w:eastAsia="仿宋_GB2312" w:cs="仿宋_GB2312"/>
          <w:b w:val="0"/>
          <w:bCs w:val="0"/>
          <w:color w:val="auto"/>
          <w:sz w:val="32"/>
          <w:szCs w:val="32"/>
          <w:lang w:val="en-US" w:eastAsia="zh-CN"/>
        </w:rPr>
        <w:t>、依据国家有关法律、法规和政策规定，负责巴陵石化公司与地方的矛盾纠纷调处工作，维护巴陵石化正常的生产生活秩序和地方人民群众的合法权益。</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w:t>
      </w:r>
      <w:r>
        <w:rPr>
          <w:rFonts w:hint="default" w:ascii="仿宋_GB2312" w:hAnsi="仿宋_GB2312" w:eastAsia="仿宋_GB2312" w:cs="仿宋_GB2312"/>
          <w:b w:val="0"/>
          <w:bCs w:val="0"/>
          <w:color w:val="auto"/>
          <w:sz w:val="32"/>
          <w:szCs w:val="32"/>
          <w:lang w:val="en-US" w:eastAsia="zh-CN"/>
        </w:rPr>
        <w:t>、负责巴陵石化公司和云溪区人民政府经济技术协作信息库建设，开展涉厂情况调研，及时传递沟通厂地高层信息，为区委、区人民政府提供决策依据。</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w:t>
      </w:r>
      <w:r>
        <w:rPr>
          <w:rFonts w:hint="default" w:ascii="仿宋_GB2312" w:hAnsi="仿宋_GB2312" w:eastAsia="仿宋_GB2312" w:cs="仿宋_GB2312"/>
          <w:b w:val="0"/>
          <w:bCs w:val="0"/>
          <w:color w:val="auto"/>
          <w:sz w:val="32"/>
          <w:szCs w:val="32"/>
          <w:lang w:val="en-US" w:eastAsia="zh-CN"/>
        </w:rPr>
        <w:t>承担协调、监督涉及巴陵石化公司行政执法工作的职责。</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7、</w:t>
      </w:r>
      <w:r>
        <w:rPr>
          <w:rFonts w:hint="default" w:ascii="仿宋_GB2312" w:hAnsi="仿宋_GB2312" w:eastAsia="仿宋_GB2312" w:cs="仿宋_GB2312"/>
          <w:b w:val="0"/>
          <w:bCs w:val="0"/>
          <w:color w:val="auto"/>
          <w:sz w:val="32"/>
          <w:szCs w:val="32"/>
          <w:lang w:val="en-US" w:eastAsia="zh-CN"/>
        </w:rPr>
        <w:t>指导乡镇经济发展站与巴陵石化公司的经济技术协作和矛盾纠纷协调工作。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8</w:t>
      </w:r>
      <w:r>
        <w:rPr>
          <w:rFonts w:hint="default" w:ascii="仿宋_GB2312" w:hAnsi="仿宋_GB2312" w:eastAsia="仿宋_GB2312" w:cs="仿宋_GB2312"/>
          <w:b w:val="0"/>
          <w:bCs w:val="0"/>
          <w:color w:val="auto"/>
          <w:sz w:val="32"/>
          <w:szCs w:val="32"/>
          <w:lang w:val="en-US" w:eastAsia="zh-CN"/>
        </w:rPr>
        <w:t>、承办区委、区人民政府和巴陵石化公司交办的其他事项。</w:t>
      </w:r>
    </w:p>
    <w:p>
      <w:pPr>
        <w:pStyle w:val="5"/>
        <w:bidi w:val="0"/>
        <w:rPr>
          <w:rFonts w:hint="default"/>
          <w:lang w:val="en-US" w:eastAsia="zh-CN"/>
        </w:rPr>
      </w:pPr>
      <w:r>
        <w:rPr>
          <w:rFonts w:hint="eastAsia"/>
          <w:lang w:val="en-US" w:eastAsia="zh-CN"/>
        </w:rPr>
        <w:t>（四）</w:t>
      </w:r>
      <w:r>
        <w:rPr>
          <w:rFonts w:hint="default"/>
          <w:lang w:val="en-US" w:eastAsia="zh-CN"/>
        </w:rPr>
        <w:t>绩效目标设定情况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目标1：保障人员支出和单位正常运转。</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目标2：确保社会和谐稳定，维护公共安全。</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目标3：确保民生实事办理。</w:t>
      </w:r>
    </w:p>
    <w:p>
      <w:pPr>
        <w:pStyle w:val="5"/>
        <w:numPr>
          <w:ilvl w:val="0"/>
          <w:numId w:val="1"/>
        </w:numPr>
        <w:bidi w:val="0"/>
        <w:rPr>
          <w:rFonts w:hint="eastAsia"/>
          <w:lang w:val="en-US" w:eastAsia="zh-CN"/>
        </w:rPr>
      </w:pPr>
      <w:r>
        <w:rPr>
          <w:rFonts w:hint="eastAsia"/>
          <w:lang w:val="en-US" w:eastAsia="zh-CN"/>
        </w:rPr>
        <w:t>一般公共预算支出情况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根据《会计法》《预算法》《行政单位财务规则》等法律和财政部及省财政厅有关财务规章的规定，明确了经费审批权限及程序，经费预算管理、财务经费管理、资产购置与处置、财务监督等。针对“三公”经费探索建立公用经费标准定额体系，开展公用经费使用监督和绩效评估，进一步落实厉行节约的各项规定，确保“三公经费”使用合理合规等。上述制度规定基本执行到位。</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2023年决算支出327.49万元，其中：基本支出117.85万元，项目支出209.64万元。</w:t>
      </w:r>
    </w:p>
    <w:p>
      <w:pPr>
        <w:pStyle w:val="6"/>
        <w:numPr>
          <w:ilvl w:val="0"/>
          <w:numId w:val="2"/>
        </w:numPr>
        <w:bidi w:val="0"/>
        <w:rPr>
          <w:rFonts w:hint="eastAsia"/>
          <w:b/>
          <w:bCs/>
          <w:lang w:val="en-US" w:eastAsia="zh-CN"/>
        </w:rPr>
      </w:pPr>
      <w:r>
        <w:rPr>
          <w:rFonts w:hint="eastAsia"/>
          <w:b/>
          <w:bCs/>
          <w:lang w:val="en-US" w:eastAsia="zh-CN"/>
        </w:rPr>
        <w:t>基本支出情况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auto"/>
          <w:sz w:val="32"/>
          <w:szCs w:val="32"/>
          <w:lang w:val="en-US" w:eastAsia="zh-CN"/>
        </w:rPr>
        <w:t>基本支出用于为保障各部门、机构正常运转、完成日常工作任务而发生的支出，包括人员经费和公用经费。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p>
    <w:p>
      <w:pPr>
        <w:keepNext w:val="0"/>
        <w:keepLines w:val="0"/>
        <w:pageBreakBefore w:val="0"/>
        <w:widowControl w:val="0"/>
        <w:numPr>
          <w:ilvl w:val="0"/>
          <w:numId w:val="2"/>
        </w:numPr>
        <w:kinsoku/>
        <w:wordWrap/>
        <w:overflowPunct/>
        <w:topLinePunct w:val="0"/>
        <w:autoSpaceDE/>
        <w:autoSpaceDN/>
        <w:bidi w:val="0"/>
        <w:adjustRightInd/>
        <w:snapToGrid/>
        <w:spacing w:beforeAutospacing="0" w:afterAutospacing="0" w:line="560" w:lineRule="exact"/>
        <w:ind w:left="0" w:leftChars="0" w:firstLine="643" w:firstLineChars="200"/>
        <w:textAlignment w:val="auto"/>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项目支出情况</w:t>
      </w:r>
    </w:p>
    <w:p>
      <w:pPr>
        <w:keepNext w:val="0"/>
        <w:keepLines w:val="0"/>
        <w:widowControl w:val="0"/>
        <w:suppressLineNumbers w:val="0"/>
        <w:spacing w:before="0" w:beforeLines="0" w:beforeAutospacing="0" w:after="0" w:afterLines="0" w:afterAutospacing="0" w:line="600" w:lineRule="exact"/>
        <w:ind w:left="0" w:right="0" w:firstLine="640" w:firstLineChars="200"/>
        <w:jc w:val="both"/>
        <w:rPr>
          <w:rFonts w:hint="eastAsia" w:ascii="仿宋_GB2312" w:hAnsi="仿宋_GB2312" w:eastAsia="仿宋_GB2312" w:cs="仿宋_GB2312"/>
          <w:b/>
          <w:bCs/>
          <w:color w:val="auto"/>
          <w:kern w:val="2"/>
          <w:sz w:val="32"/>
          <w:szCs w:val="32"/>
          <w:lang w:val="en-US" w:eastAsia="zh-CN" w:bidi="ar-SA"/>
        </w:rPr>
      </w:pPr>
      <w:r>
        <w:rPr>
          <w:rFonts w:hint="default" w:ascii="仿宋_GB2312" w:hAnsi="Calibri" w:eastAsia="仿宋_GB2312" w:cs="仿宋_GB2312"/>
          <w:kern w:val="2"/>
          <w:sz w:val="32"/>
          <w:szCs w:val="32"/>
          <w:lang w:val="en-US" w:eastAsia="zh-CN" w:bidi="ar"/>
        </w:rPr>
        <w:t>项目支出是在基本支出之外为完成其特定的工作任务而发生的支出，主要用于专项工作的运转和设备升级等。</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2023年项目经费支出</w:t>
      </w:r>
      <w:r>
        <w:rPr>
          <w:rFonts w:hint="eastAsia" w:ascii="仿宋_GB2312" w:hAnsi="仿宋_GB2312" w:eastAsia="仿宋_GB2312" w:cs="仿宋_GB2312"/>
          <w:b w:val="0"/>
          <w:bCs w:val="0"/>
          <w:color w:val="auto"/>
          <w:sz w:val="32"/>
          <w:szCs w:val="32"/>
          <w:lang w:val="en-US" w:eastAsia="zh-CN"/>
        </w:rPr>
        <w:t>209.64</w:t>
      </w:r>
      <w:r>
        <w:rPr>
          <w:rFonts w:hint="eastAsia" w:ascii="仿宋_GB2312" w:hAnsi="仿宋_GB2312" w:eastAsia="仿宋_GB2312" w:cs="仿宋_GB2312"/>
          <w:b w:val="0"/>
          <w:bCs w:val="0"/>
          <w:color w:val="auto"/>
          <w:kern w:val="2"/>
          <w:sz w:val="32"/>
          <w:szCs w:val="32"/>
          <w:lang w:val="en-US" w:eastAsia="zh-CN" w:bidi="ar-SA"/>
        </w:rPr>
        <w:t>万元，涉及4个项目，包括业务工作经费7.01万元、三供一业日常经费24.92万元、岳化协作局综合预算160.44万元、厂地安环联动应急机制17.27万元。</w:t>
      </w:r>
    </w:p>
    <w:p>
      <w:pPr>
        <w:pStyle w:val="5"/>
        <w:bidi w:val="0"/>
        <w:rPr>
          <w:rFonts w:hint="eastAsia"/>
        </w:rPr>
      </w:pPr>
      <w:r>
        <w:t>（三）</w:t>
      </w:r>
      <w:r>
        <w:rPr>
          <w:rFonts w:hint="eastAsia"/>
        </w:rPr>
        <w:t>“三公”经费的使用和管理情况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单位2023年严格贯彻中央八项规定精神，厉行节约。“三公”经费的使用严格按照文件范围执行，财务人员严把票据审核的关卡，确保资金的合理使用。2023年初财政批复局机关“三公”经费预算数为2.13万元元，其中：公务接待费0.22万元、公务用车购置及运行费1.91万元。</w:t>
      </w:r>
    </w:p>
    <w:p>
      <w:pPr>
        <w:pStyle w:val="4"/>
        <w:bidi w:val="0"/>
        <w:rPr>
          <w:rFonts w:hint="eastAsia"/>
        </w:rPr>
      </w:pPr>
      <w:r>
        <w:rPr>
          <w:rFonts w:hint="eastAsia"/>
        </w:rPr>
        <w:t>三、政府性基金预算支出情况</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仿宋_GB2312" w:eastAsia="仿宋_GB2312" w:cs="仿宋_GB2312"/>
          <w:i w:val="0"/>
          <w:iCs w:val="0"/>
          <w:caps w:val="0"/>
          <w:color w:val="000000"/>
          <w:spacing w:val="0"/>
          <w:sz w:val="32"/>
          <w:szCs w:val="32"/>
          <w:shd w:val="clear" w:fill="FFFFFF"/>
          <w:lang w:val="en-US" w:eastAsia="zh-CN"/>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4"/>
        <w:bidi w:val="0"/>
        <w:rPr>
          <w:rFonts w:hint="eastAsia"/>
        </w:rPr>
      </w:pPr>
      <w:r>
        <w:rPr>
          <w:rFonts w:hint="eastAsia"/>
        </w:rPr>
        <w:t>四、国有资本经营预算支出情况</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黑体" w:hAnsi="黑体" w:eastAsia="黑体" w:cs="黑体"/>
          <w:i w:val="0"/>
          <w:iCs w:val="0"/>
          <w:caps w:val="0"/>
          <w:color w:val="000000"/>
          <w:spacing w:val="0"/>
          <w:sz w:val="32"/>
          <w:szCs w:val="32"/>
          <w:shd w:val="clear" w:fill="FFFFFF"/>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4"/>
        <w:bidi w:val="0"/>
        <w:rPr>
          <w:rFonts w:hint="eastAsia"/>
        </w:rPr>
      </w:pPr>
      <w:r>
        <w:rPr>
          <w:rFonts w:hint="eastAsia"/>
        </w:rPr>
        <w:t>五、社会保险基金预算支出情况</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黑体" w:hAnsi="黑体" w:eastAsia="黑体" w:cs="黑体"/>
          <w:i w:val="0"/>
          <w:iCs w:val="0"/>
          <w:caps w:val="0"/>
          <w:color w:val="000000"/>
          <w:spacing w:val="0"/>
          <w:sz w:val="32"/>
          <w:szCs w:val="32"/>
          <w:shd w:val="clear" w:fill="FFFFFF"/>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4"/>
        <w:bidi w:val="0"/>
        <w:rPr>
          <w:rFonts w:hint="eastAsia"/>
        </w:rPr>
      </w:pPr>
      <w:r>
        <w:rPr>
          <w:rFonts w:hint="eastAsia"/>
        </w:rPr>
        <w:t>六、部门整体支出绩效情况</w:t>
      </w:r>
    </w:p>
    <w:p>
      <w:pPr>
        <w:pStyle w:val="5"/>
        <w:bidi w:val="0"/>
        <w:rPr>
          <w:rFonts w:hint="default"/>
        </w:rPr>
      </w:pPr>
      <w:r>
        <w:rPr>
          <w:rFonts w:hint="default"/>
        </w:rPr>
        <w:t>（一）综合评价结论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经自评，2023年度我单位部门整体支出绩效评价结论为“优”，自查评分为100分。</w:t>
      </w:r>
    </w:p>
    <w:p>
      <w:pPr>
        <w:pStyle w:val="5"/>
        <w:numPr>
          <w:ilvl w:val="0"/>
          <w:numId w:val="2"/>
        </w:numPr>
        <w:bidi w:val="0"/>
        <w:ind w:left="0" w:leftChars="0" w:firstLine="643" w:firstLineChars="200"/>
        <w:rPr>
          <w:rFonts w:hint="default"/>
        </w:rPr>
      </w:pPr>
      <w:r>
        <w:rPr>
          <w:rFonts w:hint="default"/>
        </w:rPr>
        <w:t>评价指标分析</w:t>
      </w:r>
    </w:p>
    <w:p>
      <w:pPr>
        <w:pStyle w:val="4"/>
        <w:bidi w:val="0"/>
        <w:rPr>
          <w:rFonts w:hint="eastAsia" w:ascii="楷体_GB2312" w:hAnsi="楷体" w:eastAsia="楷体_GB2312" w:cs="楷体"/>
          <w:b/>
          <w:bCs/>
          <w:kern w:val="0"/>
          <w:sz w:val="32"/>
          <w:szCs w:val="32"/>
          <w:lang w:val="en-US" w:eastAsia="zh-CN" w:bidi="ar"/>
        </w:rPr>
      </w:pPr>
      <w:r>
        <w:rPr>
          <w:rFonts w:hint="eastAsia" w:ascii="仿宋_GB2312" w:hAnsi="仿宋_GB2312" w:eastAsia="仿宋_GB2312" w:cs="仿宋_GB2312"/>
          <w:b w:val="0"/>
          <w:bCs w:val="0"/>
          <w:color w:val="auto"/>
          <w:kern w:val="2"/>
          <w:sz w:val="32"/>
          <w:szCs w:val="32"/>
          <w:lang w:val="en-US" w:eastAsia="zh-CN" w:bidi="ar-SA"/>
        </w:rPr>
        <w:t>全年绩效指标分值共100分，自评得分100分。其中：预算执行及目标完成情意自评分10分，产出指标自评分40分，效益指标自评分25分，满意度指标自评分5分，成本指标自评分20分。</w:t>
      </w:r>
    </w:p>
    <w:p>
      <w:pPr>
        <w:pStyle w:val="4"/>
        <w:numPr>
          <w:ilvl w:val="0"/>
          <w:numId w:val="3"/>
        </w:numPr>
        <w:bidi w:val="0"/>
        <w:rPr>
          <w:rFonts w:hint="eastAsia"/>
        </w:rPr>
      </w:pPr>
      <w:r>
        <w:rPr>
          <w:rFonts w:hint="eastAsia"/>
        </w:rPr>
        <w:t>存在的问题及原因分析</w:t>
      </w:r>
    </w:p>
    <w:p>
      <w:pPr>
        <w:numPr>
          <w:numId w:val="0"/>
        </w:numPr>
        <w:ind w:firstLine="640" w:firstLineChars="200"/>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无</w:t>
      </w:r>
    </w:p>
    <w:p>
      <w:pPr>
        <w:pStyle w:val="4"/>
        <w:bidi w:val="0"/>
        <w:rPr>
          <w:rFonts w:hint="eastAsia"/>
        </w:rPr>
      </w:pPr>
      <w:r>
        <w:rPr>
          <w:rFonts w:hint="eastAsia"/>
        </w:rPr>
        <w:t>八、下一步改进措施</w:t>
      </w:r>
    </w:p>
    <w:p>
      <w:pPr>
        <w:pStyle w:val="4"/>
        <w:bidi w:val="0"/>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无</w:t>
      </w:r>
    </w:p>
    <w:p>
      <w:pPr>
        <w:pStyle w:val="4"/>
        <w:bidi w:val="0"/>
        <w:rPr>
          <w:rFonts w:hint="eastAsia"/>
          <w:lang w:val="en-US" w:eastAsia="en-US"/>
        </w:rPr>
      </w:pPr>
      <w:r>
        <w:rPr>
          <w:rFonts w:hint="eastAsia"/>
          <w:lang w:val="en-US" w:eastAsia="en-US"/>
        </w:rPr>
        <w:t>九、其他需要说明的情况</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font>
  <w:font w:name="楷体">
    <w:panose1 w:val="02010609060101010101"/>
    <w:charset w:val="86"/>
    <w:family w:val="auto"/>
    <w:pitch w:val="default"/>
    <w:sig w:usb0="800002BF" w:usb1="38CF7CFA" w:usb2="00000016" w:usb3="00000000" w:csb0="00040001" w:csb1="00000000"/>
  </w:font>
  <w:font w:name="Microsoft YaHei U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outside" w:y="1"/>
      <w:rPr>
        <w:rStyle w:val="11"/>
        <w:sz w:val="24"/>
        <w:szCs w:val="24"/>
      </w:rPr>
    </w:pPr>
    <w:r>
      <w:rPr>
        <w:rStyle w:val="11"/>
        <w:rFonts w:hint="eastAsia"/>
        <w:sz w:val="24"/>
        <w:szCs w:val="24"/>
      </w:rPr>
      <w:t xml:space="preserve">— </w:t>
    </w:r>
    <w:r>
      <w:rPr>
        <w:sz w:val="24"/>
        <w:szCs w:val="24"/>
      </w:rPr>
      <w:fldChar w:fldCharType="begin"/>
    </w:r>
    <w:r>
      <w:rPr>
        <w:rStyle w:val="11"/>
        <w:sz w:val="24"/>
        <w:szCs w:val="24"/>
      </w:rPr>
      <w:instrText xml:space="preserve">PAGE  </w:instrText>
    </w:r>
    <w:r>
      <w:rPr>
        <w:sz w:val="24"/>
        <w:szCs w:val="24"/>
      </w:rPr>
      <w:fldChar w:fldCharType="separate"/>
    </w:r>
    <w:r>
      <w:rPr>
        <w:rStyle w:val="11"/>
        <w:sz w:val="24"/>
        <w:szCs w:val="24"/>
      </w:rPr>
      <w:t>2</w:t>
    </w:r>
    <w:r>
      <w:rPr>
        <w:sz w:val="24"/>
        <w:szCs w:val="24"/>
      </w:rPr>
      <w:fldChar w:fldCharType="end"/>
    </w:r>
    <w:r>
      <w:rPr>
        <w:rStyle w:val="11"/>
        <w:rFonts w:hint="eastAsia"/>
        <w:sz w:val="24"/>
        <w:szCs w:val="24"/>
      </w:rPr>
      <w:t xml:space="preserve"> —</w:t>
    </w:r>
  </w:p>
  <w:p>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B714CD"/>
    <w:multiLevelType w:val="singleLevel"/>
    <w:tmpl w:val="A5B714CD"/>
    <w:lvl w:ilvl="0" w:tentative="0">
      <w:start w:val="7"/>
      <w:numFmt w:val="chineseCounting"/>
      <w:suff w:val="nothing"/>
      <w:lvlText w:val="%1、"/>
      <w:lvlJc w:val="left"/>
      <w:rPr>
        <w:rFonts w:hint="eastAsia"/>
      </w:rPr>
    </w:lvl>
  </w:abstractNum>
  <w:abstractNum w:abstractNumId="1">
    <w:nsid w:val="DC976376"/>
    <w:multiLevelType w:val="singleLevel"/>
    <w:tmpl w:val="DC976376"/>
    <w:lvl w:ilvl="0" w:tentative="0">
      <w:start w:val="2"/>
      <w:numFmt w:val="chineseCounting"/>
      <w:suff w:val="nothing"/>
      <w:lvlText w:val="%1、"/>
      <w:lvlJc w:val="left"/>
      <w:rPr>
        <w:rFonts w:hint="eastAsia"/>
      </w:rPr>
    </w:lvl>
  </w:abstractNum>
  <w:abstractNum w:abstractNumId="2">
    <w:nsid w:val="387498EA"/>
    <w:multiLevelType w:val="singleLevel"/>
    <w:tmpl w:val="387498EA"/>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5ZjgzZDI2ZGQyYjJhYTY2ZTc3OGE0MzM4Y2E4YjMifQ=="/>
  </w:docVars>
  <w:rsids>
    <w:rsidRoot w:val="00172A27"/>
    <w:rsid w:val="01440004"/>
    <w:rsid w:val="186A0D56"/>
    <w:rsid w:val="19C77265"/>
    <w:rsid w:val="1F0A74AA"/>
    <w:rsid w:val="25C32917"/>
    <w:rsid w:val="279E5E5C"/>
    <w:rsid w:val="2AB54840"/>
    <w:rsid w:val="32BE2CA3"/>
    <w:rsid w:val="38C3384B"/>
    <w:rsid w:val="3BFC53C8"/>
    <w:rsid w:val="3DEB0540"/>
    <w:rsid w:val="3E4F37EB"/>
    <w:rsid w:val="440028F6"/>
    <w:rsid w:val="45795F75"/>
    <w:rsid w:val="4F03647B"/>
    <w:rsid w:val="510908C5"/>
    <w:rsid w:val="5A351BA7"/>
    <w:rsid w:val="5E701212"/>
    <w:rsid w:val="5E82735E"/>
    <w:rsid w:val="61152FA9"/>
    <w:rsid w:val="624A5785"/>
    <w:rsid w:val="63660064"/>
    <w:rsid w:val="63E53BC8"/>
    <w:rsid w:val="64673F7C"/>
    <w:rsid w:val="6B264A3A"/>
    <w:rsid w:val="6B38404F"/>
    <w:rsid w:val="6B3A68C1"/>
    <w:rsid w:val="6B652681"/>
    <w:rsid w:val="71770761"/>
    <w:rsid w:val="72754D60"/>
    <w:rsid w:val="750146D0"/>
    <w:rsid w:val="757C0DDE"/>
    <w:rsid w:val="798623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Lines="0" w:beforeAutospacing="0" w:afterLines="0" w:afterAutospacing="0" w:line="560" w:lineRule="exact"/>
      <w:ind w:firstLine="640" w:firstLineChars="200"/>
      <w:outlineLvl w:val="0"/>
    </w:pPr>
    <w:rPr>
      <w:rFonts w:eastAsia="黑体" w:asciiTheme="minorAscii" w:hAnsiTheme="minorAscii"/>
      <w:b/>
      <w:kern w:val="44"/>
      <w:sz w:val="32"/>
    </w:rPr>
  </w:style>
  <w:style w:type="paragraph" w:styleId="5">
    <w:name w:val="heading 2"/>
    <w:basedOn w:val="1"/>
    <w:next w:val="1"/>
    <w:unhideWhenUsed/>
    <w:qFormat/>
    <w:uiPriority w:val="0"/>
    <w:pPr>
      <w:keepNext/>
      <w:keepLines/>
      <w:spacing w:line="560" w:lineRule="exact"/>
      <w:ind w:firstLine="200" w:firstLineChars="200"/>
      <w:outlineLvl w:val="1"/>
    </w:pPr>
    <w:rPr>
      <w:rFonts w:eastAsia="楷体_GB2312" w:asciiTheme="majorAscii" w:hAnsiTheme="majorAscii" w:cstheme="majorBidi"/>
      <w:b/>
      <w:bCs/>
      <w:sz w:val="32"/>
      <w:szCs w:val="32"/>
    </w:rPr>
  </w:style>
  <w:style w:type="paragraph" w:styleId="6">
    <w:name w:val="heading 3"/>
    <w:basedOn w:val="1"/>
    <w:next w:val="1"/>
    <w:unhideWhenUsed/>
    <w:qFormat/>
    <w:uiPriority w:val="0"/>
    <w:pPr>
      <w:keepNext/>
      <w:keepLines/>
      <w:spacing w:beforeLines="0" w:beforeAutospacing="0" w:afterLines="0" w:afterAutospacing="0" w:line="560" w:lineRule="exact"/>
      <w:ind w:firstLine="640" w:firstLineChars="200"/>
      <w:outlineLvl w:val="2"/>
    </w:pPr>
    <w:rPr>
      <w:rFonts w:eastAsia="仿宋_GB2312" w:asciiTheme="minorAscii" w:hAnsiTheme="minorAscii"/>
      <w:sz w:val="32"/>
    </w:rPr>
  </w:style>
  <w:style w:type="character" w:default="1" w:styleId="10">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before="100" w:beforeAutospacing="1" w:after="0"/>
      <w:ind w:left="0" w:firstLine="420" w:firstLineChars="200"/>
    </w:pPr>
    <w:rPr>
      <w:rFonts w:ascii="Calibri" w:hAnsi="Calibri" w:eastAsia="宋体" w:cs="Times New Roman"/>
    </w:rPr>
  </w:style>
  <w:style w:type="paragraph" w:styleId="3">
    <w:name w:val="Body Text Indent"/>
    <w:basedOn w:val="1"/>
    <w:qFormat/>
    <w:uiPriority w:val="0"/>
    <w:pPr>
      <w:spacing w:after="120"/>
      <w:ind w:left="420" w:leftChars="200"/>
    </w:pPr>
    <w:rPr>
      <w:rFonts w:ascii="Times New Roman" w:hAnsi="Times New Roman" w:eastAsia="宋体" w:cs="Times New Roman"/>
    </w:rPr>
  </w:style>
  <w:style w:type="paragraph" w:styleId="7">
    <w:name w:val="footer"/>
    <w:basedOn w:val="1"/>
    <w:qFormat/>
    <w:uiPriority w:val="0"/>
    <w:pPr>
      <w:tabs>
        <w:tab w:val="center" w:pos="4153"/>
        <w:tab w:val="right" w:pos="8306"/>
      </w:tabs>
      <w:snapToGrid w:val="0"/>
      <w:jc w:val="left"/>
    </w:pPr>
    <w:rPr>
      <w:kern w:val="0"/>
      <w:sz w:val="18"/>
      <w:szCs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page number"/>
    <w:qFormat/>
    <w:uiPriority w:val="0"/>
  </w:style>
  <w:style w:type="paragraph" w:customStyle="1" w:styleId="12">
    <w:name w:val="BodyText1I2"/>
    <w:basedOn w:val="13"/>
    <w:qFormat/>
    <w:uiPriority w:val="0"/>
    <w:pPr>
      <w:spacing w:before="100" w:beforeAutospacing="1" w:after="0"/>
      <w:ind w:left="0" w:firstLine="420" w:firstLineChars="200"/>
    </w:pPr>
    <w:rPr>
      <w:rFonts w:ascii="Calibri" w:hAnsi="Calibri"/>
    </w:rPr>
  </w:style>
  <w:style w:type="paragraph" w:customStyle="1" w:styleId="13">
    <w:name w:val="BodyTextIndent"/>
    <w:basedOn w:val="1"/>
    <w:qFormat/>
    <w:uiPriority w:val="0"/>
    <w:pPr>
      <w:spacing w:after="120"/>
      <w:ind w:left="420" w:leftChars="200"/>
    </w:pPr>
  </w:style>
  <w:style w:type="paragraph" w:customStyle="1" w:styleId="14">
    <w:name w:val="BodyText1I"/>
    <w:basedOn w:val="1"/>
    <w:qFormat/>
    <w:uiPriority w:val="99"/>
    <w:pPr>
      <w:snapToGrid w:val="0"/>
      <w:spacing w:line="360" w:lineRule="auto"/>
      <w:ind w:firstLine="420" w:firstLineChars="100"/>
    </w:pPr>
    <w:rPr>
      <w:sz w:val="28"/>
      <w:szCs w:val="20"/>
    </w:rPr>
  </w:style>
  <w:style w:type="paragraph" w:customStyle="1" w:styleId="15">
    <w:name w:val="标题1"/>
    <w:basedOn w:val="5"/>
    <w:qFormat/>
    <w:uiPriority w:val="0"/>
    <w:rPr>
      <w:rFonts w:eastAsia="黑体"/>
    </w:rPr>
  </w:style>
  <w:style w:type="paragraph" w:customStyle="1" w:styleId="16">
    <w:name w:val="List Paragraph_a0f507d5-6e28-4914-b37f-020b7d2b0f7c"/>
    <w:basedOn w:val="1"/>
    <w:qFormat/>
    <w:uiPriority w:val="0"/>
    <w:pPr>
      <w:ind w:firstLine="420" w:firstLineChars="200"/>
    </w:pPr>
    <w:rPr>
      <w:rFonts w:ascii="Times New Roman" w:hAnsi="Times New Roman" w:eastAsia="宋体" w:cs="Times New Roman"/>
    </w:rPr>
  </w:style>
  <w:style w:type="character" w:customStyle="1" w:styleId="17">
    <w:name w:val="font171"/>
    <w:basedOn w:val="10"/>
    <w:uiPriority w:val="0"/>
    <w:rPr>
      <w:rFonts w:ascii="Arial" w:hAnsi="Arial" w:cs="Arial"/>
      <w:color w:val="000000"/>
      <w:sz w:val="16"/>
      <w:szCs w:val="16"/>
      <w:u w:val="none"/>
    </w:rPr>
  </w:style>
  <w:style w:type="character" w:customStyle="1" w:styleId="18">
    <w:name w:val="font91"/>
    <w:basedOn w:val="10"/>
    <w:uiPriority w:val="0"/>
    <w:rPr>
      <w:rFonts w:hint="default" w:ascii="仿宋_GB2312" w:eastAsia="仿宋_GB2312" w:cs="仿宋_GB2312"/>
      <w:color w:val="000000"/>
      <w:sz w:val="16"/>
      <w:szCs w:val="16"/>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1</Lines>
  <Paragraphs>1</Paragraphs>
  <TotalTime>2</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2024-05-20T07:10:00Z</dcterms:created>
  <dc:creator>HNBS-WORKER3</dc:creator>
  <cp:lastModifiedBy>何云</cp:lastModifiedBy>
  <dcterms:modified xsi:type="dcterms:W3CDTF">2024-06-20T08:10:42Z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804981F5557747C88F7BF007EF947A1D_12</vt:lpwstr>
  </property>
</Properties>
</file>