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  <w:lang w:val="en-US" w:eastAsia="zh-CN"/>
        </w:rPr>
        <w:t>3-1</w:t>
      </w:r>
      <w:r>
        <w:rPr>
          <w:rFonts w:hint="eastAsia" w:ascii="黑体" w:hAnsi="黑体" w:eastAsia="黑体" w:cs="黑体"/>
          <w:bCs/>
          <w:sz w:val="32"/>
          <w:szCs w:val="32"/>
        </w:rPr>
        <w:t>：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岳阳市云溪区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</w:rPr>
        <w:t>20</w:t>
      </w:r>
      <w:r>
        <w:rPr>
          <w:rFonts w:hint="eastAsia" w:ascii="宋体" w:hAnsi="宋体" w:eastAsia="宋体" w:cs="宋体"/>
          <w:b/>
          <w:bCs w:val="0"/>
          <w:sz w:val="46"/>
          <w:szCs w:val="46"/>
          <w:u w:val="single"/>
          <w:lang w:val="en-US" w:eastAsia="zh-CN"/>
        </w:rPr>
        <w:t>23</w:t>
      </w:r>
      <w:r>
        <w:rPr>
          <w:rFonts w:hint="eastAsia" w:ascii="宋体" w:hAnsi="宋体" w:eastAsia="宋体" w:cs="宋体"/>
          <w:b/>
          <w:bCs w:val="0"/>
          <w:sz w:val="46"/>
          <w:szCs w:val="46"/>
        </w:rPr>
        <w:t>年度部门整体支出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 w:val="0"/>
          <w:sz w:val="46"/>
          <w:szCs w:val="46"/>
        </w:rPr>
      </w:pPr>
      <w:r>
        <w:rPr>
          <w:rFonts w:hint="eastAsia" w:ascii="宋体" w:hAnsi="宋体" w:eastAsia="宋体" w:cs="宋体"/>
          <w:b/>
          <w:bCs w:val="0"/>
          <w:sz w:val="46"/>
          <w:szCs w:val="46"/>
        </w:rPr>
        <w:t>绩效评价自评报告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  <w:r>
        <w:rPr>
          <w:rFonts w:hint="eastAsia" w:eastAsia="仿宋_GB2312"/>
          <w:b/>
          <w:sz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  <w:lang w:val="en-US" w:eastAsia="zh-CN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/>
          <w:b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  <w:u w:val="single"/>
        </w:rPr>
      </w:pPr>
      <w:r>
        <w:rPr>
          <w:rFonts w:hint="eastAsia" w:eastAsia="仿宋_GB2312"/>
          <w:sz w:val="32"/>
          <w:szCs w:val="32"/>
        </w:rPr>
        <w:t>部门(单位)名称：</w:t>
      </w:r>
      <w:r>
        <w:rPr>
          <w:rFonts w:hint="eastAsia" w:eastAsia="仿宋_GB2312"/>
          <w:sz w:val="28"/>
          <w:szCs w:val="28"/>
          <w:u w:val="single"/>
          <w:lang w:val="en-US" w:eastAsia="zh-CN"/>
        </w:rPr>
        <w:t>中共岳阳市云溪区委巡察工作领导小组办公室</w:t>
      </w:r>
      <w:r>
        <w:rPr>
          <w:rFonts w:hint="eastAsia" w:eastAsia="仿宋_GB2312"/>
          <w:sz w:val="32"/>
          <w:szCs w:val="32"/>
          <w:u w:val="single"/>
        </w:rPr>
        <w:t xml:space="preserve">         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pacing w:val="20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预</w:t>
      </w:r>
      <w:r>
        <w:rPr>
          <w:rFonts w:hint="eastAsia" w:eastAsia="仿宋_GB2312"/>
          <w:spacing w:val="30"/>
          <w:sz w:val="32"/>
          <w:szCs w:val="32"/>
        </w:rPr>
        <w:t xml:space="preserve"> 算 编 码：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     </w:t>
      </w:r>
      <w:r>
        <w:rPr>
          <w:rFonts w:hint="eastAsia" w:eastAsia="仿宋_GB2312"/>
          <w:spacing w:val="20"/>
          <w:sz w:val="32"/>
          <w:szCs w:val="32"/>
          <w:u w:val="single"/>
          <w:lang w:val="en-US" w:eastAsia="zh-CN"/>
        </w:rPr>
        <w:t>150001</w:t>
      </w:r>
      <w:r>
        <w:rPr>
          <w:rFonts w:hint="eastAsia" w:eastAsia="仿宋_GB2312"/>
          <w:spacing w:val="20"/>
          <w:sz w:val="32"/>
          <w:szCs w:val="32"/>
          <w:u w:val="single"/>
        </w:rPr>
        <w:t xml:space="preserve">              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评价方式：部门（单位）绩效自评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476" w:firstLineChars="150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 xml:space="preserve">评价机构：部门（单位）评价组   </w:t>
      </w: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ind w:firstLine="2188" w:firstLineChars="690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</w:p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jc w:val="center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</w:t>
      </w:r>
      <w:r>
        <w:rPr>
          <w:rFonts w:hint="eastAsia" w:eastAsia="仿宋_GB2312"/>
          <w:sz w:val="32"/>
        </w:rPr>
        <w:t>报告日期：   年   月   日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 w:val="0"/>
        <w:bidi w:val="0"/>
        <w:spacing w:line="560" w:lineRule="exact"/>
        <w:jc w:val="center"/>
        <w:textAlignment w:val="center"/>
        <w:rPr>
          <w:rFonts w:hint="eastAsia" w:eastAsia="仿宋_GB2312"/>
          <w:sz w:val="32"/>
          <w:szCs w:val="32"/>
        </w:rPr>
      </w:pPr>
      <w:r>
        <w:rPr>
          <w:rFonts w:hint="eastAsia" w:eastAsia="仿宋_GB2312"/>
          <w:sz w:val="32"/>
          <w:lang w:val="en-US" w:eastAsia="zh-CN"/>
        </w:rPr>
        <w:t xml:space="preserve">          </w:t>
      </w:r>
      <w:r>
        <w:rPr>
          <w:rFonts w:hint="eastAsia" w:eastAsia="仿宋_GB2312"/>
          <w:sz w:val="32"/>
        </w:rPr>
        <w:t>岳阳市云溪财政</w:t>
      </w:r>
      <w:r>
        <w:rPr>
          <w:rFonts w:hint="eastAsia" w:eastAsia="仿宋_GB2312"/>
          <w:sz w:val="32"/>
          <w:szCs w:val="32"/>
        </w:rPr>
        <w:t>局（制）</w:t>
      </w:r>
    </w:p>
    <w:p>
      <w:pPr>
        <w:pStyle w:val="7"/>
        <w:rPr>
          <w:rFonts w:hint="eastAsia" w:eastAsia="仿宋_GB2312"/>
          <w:sz w:val="32"/>
          <w:szCs w:val="32"/>
        </w:rPr>
      </w:pPr>
    </w:p>
    <w:p>
      <w:pPr>
        <w:pStyle w:val="7"/>
        <w:rPr>
          <w:rFonts w:hint="eastAsia" w:eastAsia="仿宋_GB2312"/>
          <w:sz w:val="32"/>
          <w:szCs w:val="32"/>
        </w:rPr>
      </w:pPr>
    </w:p>
    <w:p>
      <w:pPr>
        <w:pStyle w:val="7"/>
        <w:rPr>
          <w:rFonts w:hint="eastAsia" w:eastAsia="仿宋_GB2312"/>
          <w:sz w:val="32"/>
          <w:szCs w:val="32"/>
        </w:rPr>
      </w:pPr>
    </w:p>
    <w:p>
      <w:pPr>
        <w:pStyle w:val="7"/>
        <w:rPr>
          <w:rFonts w:hint="eastAsia" w:eastAsia="仿宋_GB2312"/>
          <w:sz w:val="32"/>
          <w:szCs w:val="32"/>
        </w:rPr>
      </w:pPr>
    </w:p>
    <w:p>
      <w:pPr>
        <w:pStyle w:val="7"/>
        <w:rPr>
          <w:rFonts w:hint="eastAsia" w:eastAsia="仿宋_GB2312"/>
          <w:sz w:val="32"/>
          <w:szCs w:val="32"/>
        </w:rPr>
      </w:pPr>
    </w:p>
    <w:p>
      <w:pPr>
        <w:pStyle w:val="7"/>
        <w:rPr>
          <w:rFonts w:hint="eastAsia" w:eastAsia="仿宋_GB2312"/>
          <w:sz w:val="32"/>
          <w:szCs w:val="32"/>
        </w:rPr>
        <w:sectPr>
          <w:footerReference r:id="rId3" w:type="default"/>
          <w:footerReference r:id="rId4" w:type="even"/>
          <w:pgSz w:w="11906" w:h="16838"/>
          <w:pgMar w:top="1588" w:right="1588" w:bottom="1588" w:left="1588" w:header="851" w:footer="992" w:gutter="0"/>
          <w:pgNumType w:start="1"/>
          <w:cols w:space="720" w:num="1"/>
          <w:titlePg/>
          <w:docGrid w:type="linesAndChars" w:linePitch="602" w:charSpace="-782"/>
        </w:sectPr>
      </w:pPr>
    </w:p>
    <w:tbl>
      <w:tblPr>
        <w:tblStyle w:val="4"/>
        <w:tblW w:w="980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5" w:type="dxa"/>
          <w:bottom w:w="0" w:type="dxa"/>
          <w:right w:w="15" w:type="dxa"/>
        </w:tblCellMar>
      </w:tblPr>
      <w:tblGrid>
        <w:gridCol w:w="753"/>
        <w:gridCol w:w="780"/>
        <w:gridCol w:w="121"/>
        <w:gridCol w:w="824"/>
        <w:gridCol w:w="395"/>
        <w:gridCol w:w="1080"/>
        <w:gridCol w:w="5"/>
        <w:gridCol w:w="1257"/>
        <w:gridCol w:w="5"/>
        <w:gridCol w:w="5"/>
        <w:gridCol w:w="1143"/>
        <w:gridCol w:w="326"/>
        <w:gridCol w:w="422"/>
        <w:gridCol w:w="477"/>
        <w:gridCol w:w="155"/>
        <w:gridCol w:w="30"/>
        <w:gridCol w:w="325"/>
        <w:gridCol w:w="720"/>
        <w:gridCol w:w="97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753" w:hRule="atLeast"/>
          <w:jc w:val="center"/>
        </w:trPr>
        <w:tc>
          <w:tcPr>
            <w:tcW w:w="9800" w:type="dxa"/>
            <w:gridSpan w:val="1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三、部门（单位）整体支出绩效自评情况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42" w:hRule="atLeast"/>
          <w:jc w:val="center"/>
        </w:trPr>
        <w:tc>
          <w:tcPr>
            <w:tcW w:w="753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212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年初预算</w:t>
            </w:r>
          </w:p>
        </w:tc>
        <w:tc>
          <w:tcPr>
            <w:tcW w:w="126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全年预算数</w:t>
            </w:r>
          </w:p>
        </w:tc>
        <w:tc>
          <w:tcPr>
            <w:tcW w:w="2378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全年执行数</w:t>
            </w:r>
          </w:p>
        </w:tc>
        <w:tc>
          <w:tcPr>
            <w:tcW w:w="5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分值</w:t>
            </w: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执行率</w:t>
            </w:r>
          </w:p>
        </w:tc>
        <w:tc>
          <w:tcPr>
            <w:tcW w:w="97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得分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22" w:hRule="atLeast"/>
          <w:jc w:val="center"/>
        </w:trPr>
        <w:tc>
          <w:tcPr>
            <w:tcW w:w="753" w:type="dxa"/>
            <w:vMerge w:val="restart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498"/>
              </w:tabs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年度预算申请</w:t>
            </w:r>
          </w:p>
          <w:p>
            <w:pPr>
              <w:pStyle w:val="7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240" w:lineRule="exact"/>
              <w:ind w:left="0" w:leftChars="0" w:firstLine="0" w:firstLineChars="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（万元）</w:t>
            </w:r>
          </w:p>
        </w:tc>
        <w:tc>
          <w:tcPr>
            <w:tcW w:w="2120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年度资金总额</w:t>
            </w:r>
          </w:p>
        </w:tc>
        <w:tc>
          <w:tcPr>
            <w:tcW w:w="108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241.12</w:t>
            </w:r>
          </w:p>
        </w:tc>
        <w:tc>
          <w:tcPr>
            <w:tcW w:w="1262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283.14</w:t>
            </w:r>
          </w:p>
        </w:tc>
        <w:tc>
          <w:tcPr>
            <w:tcW w:w="2378" w:type="dxa"/>
            <w:gridSpan w:val="6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199.15</w:t>
            </w:r>
          </w:p>
        </w:tc>
        <w:tc>
          <w:tcPr>
            <w:tcW w:w="510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720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70.34%</w:t>
            </w:r>
          </w:p>
        </w:tc>
        <w:tc>
          <w:tcPr>
            <w:tcW w:w="977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7.03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37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按收入性质分：</w:t>
            </w:r>
          </w:p>
        </w:tc>
        <w:tc>
          <w:tcPr>
            <w:tcW w:w="4585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按支出性质分：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02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其中：一般公共预算：             280.53</w:t>
            </w:r>
          </w:p>
        </w:tc>
        <w:tc>
          <w:tcPr>
            <w:tcW w:w="4585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其中：基本支出    172.01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90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政府性基金拨款：               0</w:t>
            </w:r>
          </w:p>
        </w:tc>
        <w:tc>
          <w:tcPr>
            <w:tcW w:w="4585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 项目支出     27.14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22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纳入专户管理的非税收入拨款：        0</w:t>
            </w:r>
          </w:p>
        </w:tc>
        <w:tc>
          <w:tcPr>
            <w:tcW w:w="4585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7" w:hRule="atLeast"/>
          <w:jc w:val="center"/>
        </w:trPr>
        <w:tc>
          <w:tcPr>
            <w:tcW w:w="753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  <w:tc>
          <w:tcPr>
            <w:tcW w:w="4462" w:type="dxa"/>
            <w:gridSpan w:val="7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其他资金：                   2.6</w:t>
            </w:r>
          </w:p>
        </w:tc>
        <w:tc>
          <w:tcPr>
            <w:tcW w:w="4585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87" w:hRule="atLeast"/>
          <w:jc w:val="center"/>
        </w:trPr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年度总体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目标</w:t>
            </w:r>
          </w:p>
        </w:tc>
        <w:tc>
          <w:tcPr>
            <w:tcW w:w="4462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预期目标</w:t>
            </w:r>
          </w:p>
        </w:tc>
        <w:tc>
          <w:tcPr>
            <w:tcW w:w="4585" w:type="dxa"/>
            <w:gridSpan w:val="11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实际完成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27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24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4462" w:type="dxa"/>
            <w:gridSpan w:val="7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统筹、协调、指导巡察工作，向领导小组负责并报告工作。巡察组在巡察工作领导小组领导下，贯彻落实党中央、省委、市委和县委关于巡察工作的决策和部署，切实履行党内监督职责，承担巡察任务，向领导小组负责并报告工作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eastAsia="zh-CN"/>
              </w:rPr>
              <w:t>。</w:t>
            </w:r>
          </w:p>
        </w:tc>
        <w:tc>
          <w:tcPr>
            <w:tcW w:w="4585" w:type="dxa"/>
            <w:gridSpan w:val="11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240" w:lineRule="exact"/>
              <w:jc w:val="left"/>
              <w:textAlignment w:val="center"/>
              <w:rPr>
                <w:rFonts w:hint="eastAsia" w:ascii="仿宋_GB2312" w:hAnsi="仿宋_GB2312" w:eastAsia="仿宋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如期完成两轮常规巡察，发挥巡察利剑作用，形成震慑，并如期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向领导小组负责并报告工作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753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  <w:t>绩效指标</w:t>
            </w:r>
          </w:p>
        </w:tc>
        <w:tc>
          <w:tcPr>
            <w:tcW w:w="780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一级指标</w:t>
            </w:r>
          </w:p>
        </w:tc>
        <w:tc>
          <w:tcPr>
            <w:tcW w:w="945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二级指标</w:t>
            </w:r>
          </w:p>
        </w:tc>
        <w:tc>
          <w:tcPr>
            <w:tcW w:w="1475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三级指标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年度指标</w:t>
            </w:r>
          </w:p>
        </w:tc>
        <w:tc>
          <w:tcPr>
            <w:tcW w:w="1148" w:type="dxa"/>
            <w:gridSpan w:val="2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实际完成值</w:t>
            </w:r>
          </w:p>
        </w:tc>
        <w:tc>
          <w:tcPr>
            <w:tcW w:w="74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分值</w:t>
            </w:r>
          </w:p>
        </w:tc>
        <w:tc>
          <w:tcPr>
            <w:tcW w:w="63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得分</w:t>
            </w:r>
          </w:p>
        </w:tc>
        <w:tc>
          <w:tcPr>
            <w:tcW w:w="2052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偏差原因分析及改进措施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产出目标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50分）</w:t>
            </w: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质量指标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常规巡察完成率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114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48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回访督查完成率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11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4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整改评估完成率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100%</w:t>
            </w:r>
          </w:p>
        </w:tc>
        <w:tc>
          <w:tcPr>
            <w:tcW w:w="11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100%</w:t>
            </w:r>
          </w:p>
        </w:tc>
        <w:tc>
          <w:tcPr>
            <w:tcW w:w="74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数量指标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常规巡察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2轮</w:t>
            </w:r>
          </w:p>
        </w:tc>
        <w:tc>
          <w:tcPr>
            <w:tcW w:w="11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2轮</w:t>
            </w:r>
          </w:p>
        </w:tc>
        <w:tc>
          <w:tcPr>
            <w:tcW w:w="74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396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回访督查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2轮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 xml:space="preserve">                                                     </w:t>
            </w:r>
          </w:p>
        </w:tc>
        <w:tc>
          <w:tcPr>
            <w:tcW w:w="11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2轮</w:t>
            </w:r>
          </w:p>
        </w:tc>
        <w:tc>
          <w:tcPr>
            <w:tcW w:w="74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61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整改评估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2轮</w:t>
            </w:r>
          </w:p>
        </w:tc>
        <w:tc>
          <w:tcPr>
            <w:tcW w:w="11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  <w:lang w:val="en-US" w:eastAsia="zh-CN"/>
              </w:rPr>
              <w:t>2轮</w:t>
            </w:r>
          </w:p>
        </w:tc>
        <w:tc>
          <w:tcPr>
            <w:tcW w:w="74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时效指标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完成时间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一年</w:t>
            </w:r>
          </w:p>
        </w:tc>
        <w:tc>
          <w:tcPr>
            <w:tcW w:w="11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一年</w:t>
            </w:r>
          </w:p>
        </w:tc>
        <w:tc>
          <w:tcPr>
            <w:tcW w:w="74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成本指标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预算控制数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≤</w:t>
            </w:r>
            <w:r>
              <w:rPr>
                <w:rFonts w:hint="default" w:ascii="仿宋" w:hAnsi="仿宋" w:eastAsia="仿宋" w:cs="仿宋"/>
                <w:color w:val="000000"/>
                <w:sz w:val="21"/>
                <w:szCs w:val="21"/>
              </w:rPr>
              <w:t>60万</w:t>
            </w:r>
          </w:p>
        </w:tc>
        <w:tc>
          <w:tcPr>
            <w:tcW w:w="11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24.73万</w:t>
            </w:r>
          </w:p>
        </w:tc>
        <w:tc>
          <w:tcPr>
            <w:tcW w:w="74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效益目标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30分</w:t>
            </w: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）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</w:rPr>
              <w:t>巡察工作社会知晓率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≥</w:t>
            </w:r>
            <w:r>
              <w:rPr>
                <w:rFonts w:hint="default" w:ascii="仿宋" w:hAnsi="仿宋" w:eastAsia="仿宋" w:cs="仿宋"/>
                <w:color w:val="000000"/>
                <w:sz w:val="21"/>
                <w:szCs w:val="21"/>
              </w:rPr>
              <w:t>100%</w:t>
            </w:r>
          </w:p>
        </w:tc>
        <w:tc>
          <w:tcPr>
            <w:tcW w:w="11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≥</w:t>
            </w:r>
            <w:r>
              <w:rPr>
                <w:rFonts w:hint="default" w:ascii="仿宋" w:hAnsi="仿宋" w:eastAsia="仿宋" w:cs="仿宋"/>
                <w:color w:val="000000"/>
                <w:sz w:val="21"/>
                <w:szCs w:val="21"/>
              </w:rPr>
              <w:t>100%</w:t>
            </w:r>
          </w:p>
        </w:tc>
        <w:tc>
          <w:tcPr>
            <w:tcW w:w="74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经济效益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生态效益</w:t>
            </w:r>
          </w:p>
        </w:tc>
        <w:tc>
          <w:tcPr>
            <w:tcW w:w="1480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gridSpan w:val="3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1143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748" w:type="dxa"/>
            <w:gridSpan w:val="2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</w:p>
        </w:tc>
        <w:tc>
          <w:tcPr>
            <w:tcW w:w="662" w:type="dxa"/>
            <w:gridSpan w:val="3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  <w:tc>
          <w:tcPr>
            <w:tcW w:w="2022" w:type="dxa"/>
            <w:gridSpan w:val="3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032" w:hRule="atLeast"/>
          <w:jc w:val="center"/>
        </w:trPr>
        <w:tc>
          <w:tcPr>
            <w:tcW w:w="753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</w:rPr>
            </w:pPr>
          </w:p>
        </w:tc>
        <w:tc>
          <w:tcPr>
            <w:tcW w:w="78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满意度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10分</w:t>
            </w: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945" w:type="dxa"/>
            <w:gridSpan w:val="2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社会公众或服务对象满意度</w:t>
            </w:r>
          </w:p>
        </w:tc>
        <w:tc>
          <w:tcPr>
            <w:tcW w:w="1480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</w:rPr>
              <w:t>对巡察工作满意程度</w:t>
            </w:r>
          </w:p>
        </w:tc>
        <w:tc>
          <w:tcPr>
            <w:tcW w:w="1267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≥</w:t>
            </w:r>
            <w:r>
              <w:rPr>
                <w:rFonts w:hint="default" w:ascii="仿宋" w:hAnsi="仿宋" w:eastAsia="仿宋" w:cs="仿宋"/>
                <w:color w:val="000000"/>
                <w:sz w:val="21"/>
                <w:szCs w:val="21"/>
              </w:rPr>
              <w:t>85%</w:t>
            </w:r>
          </w:p>
        </w:tc>
        <w:tc>
          <w:tcPr>
            <w:tcW w:w="1143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" w:hAnsi="仿宋" w:eastAsia="仿宋" w:cs="仿宋"/>
                <w:color w:val="000000"/>
                <w:sz w:val="21"/>
                <w:szCs w:val="21"/>
              </w:rPr>
              <w:t>≥</w:t>
            </w:r>
            <w:r>
              <w:rPr>
                <w:rFonts w:hint="default" w:ascii="仿宋" w:hAnsi="仿宋" w:eastAsia="仿宋" w:cs="仿宋"/>
                <w:color w:val="000000"/>
                <w:sz w:val="21"/>
                <w:szCs w:val="21"/>
              </w:rPr>
              <w:t>85%</w:t>
            </w:r>
          </w:p>
        </w:tc>
        <w:tc>
          <w:tcPr>
            <w:tcW w:w="748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662" w:type="dxa"/>
            <w:gridSpan w:val="3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022" w:type="dxa"/>
            <w:gridSpan w:val="3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829" w:hRule="atLeast"/>
          <w:jc w:val="center"/>
        </w:trPr>
        <w:tc>
          <w:tcPr>
            <w:tcW w:w="247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绩效自评综合得分</w:t>
            </w:r>
          </w:p>
        </w:tc>
        <w:tc>
          <w:tcPr>
            <w:tcW w:w="7322" w:type="dxa"/>
            <w:gridSpan w:val="1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97.03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1048" w:hRule="atLeast"/>
          <w:jc w:val="center"/>
        </w:trPr>
        <w:tc>
          <w:tcPr>
            <w:tcW w:w="2478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  <w:t>评价等次</w:t>
            </w:r>
          </w:p>
        </w:tc>
        <w:tc>
          <w:tcPr>
            <w:tcW w:w="7322" w:type="dxa"/>
            <w:gridSpan w:val="1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  <w:lang w:val="en-US" w:eastAsia="zh-CN"/>
              </w:rPr>
              <w:t>优秀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9800" w:type="dxa"/>
            <w:gridSpan w:val="1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</w:rPr>
              <w:t>四、评价人员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姓  名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职务/职称</w:t>
            </w: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  位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签  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廖良雄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巡察办主任</w:t>
            </w: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巡察办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言蓓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巡察办副主任</w:t>
            </w: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巡察办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方祚</w:t>
            </w: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巡察专员</w:t>
            </w: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巡察办</w:t>
            </w: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680" w:hRule="atLeast"/>
          <w:jc w:val="center"/>
        </w:trPr>
        <w:tc>
          <w:tcPr>
            <w:tcW w:w="1654" w:type="dxa"/>
            <w:gridSpan w:val="3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561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479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3106" w:type="dxa"/>
            <w:gridSpan w:val="7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460" w:hRule="atLeast"/>
          <w:jc w:val="center"/>
        </w:trPr>
        <w:tc>
          <w:tcPr>
            <w:tcW w:w="9800" w:type="dxa"/>
            <w:gridSpan w:val="1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评价组组长（签字）：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napToGrid/>
              <w:spacing w:line="30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190" w:hRule="atLeast"/>
          <w:jc w:val="center"/>
        </w:trPr>
        <w:tc>
          <w:tcPr>
            <w:tcW w:w="9800" w:type="dxa"/>
            <w:gridSpan w:val="1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部门（单位）意见：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部门（单位）负责人（签章）：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                                                              年    月 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5" w:type="dxa"/>
            <w:bottom w:w="0" w:type="dxa"/>
            <w:right w:w="15" w:type="dxa"/>
          </w:tblCellMar>
        </w:tblPrEx>
        <w:trPr>
          <w:trHeight w:val="2560" w:hRule="atLeast"/>
          <w:jc w:val="center"/>
        </w:trPr>
        <w:tc>
          <w:tcPr>
            <w:tcW w:w="9800" w:type="dxa"/>
            <w:gridSpan w:val="19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财政部门归口业务股室意见：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bidi w:val="0"/>
              <w:adjustRightInd/>
              <w:spacing w:line="560" w:lineRule="exact"/>
              <w:rPr>
                <w:rFonts w:hint="eastAsia"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财政部门归口业务股室负责人（签章）：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 w:val="0"/>
              <w:bidi w:val="0"/>
              <w:adjustRightInd/>
              <w:spacing w:line="560" w:lineRule="exact"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eastAsia="仿宋_GB2312"/>
                <w:sz w:val="24"/>
              </w:rPr>
              <w:t xml:space="preserve">                                                                 年    月   日</w:t>
            </w:r>
          </w:p>
        </w:tc>
      </w:tr>
    </w:tbl>
    <w:p>
      <w:pPr>
        <w:keepNext w:val="0"/>
        <w:keepLines w:val="0"/>
        <w:pageBreakBefore w:val="0"/>
        <w:kinsoku/>
        <w:overflowPunct/>
        <w:topLinePunct w:val="0"/>
        <w:autoSpaceDE/>
        <w:bidi w:val="0"/>
        <w:spacing w:line="560" w:lineRule="exact"/>
        <w:rPr>
          <w:rFonts w:hint="eastAsia" w:eastAsia="仿宋_GB2312" w:cs="仿宋_GB2312"/>
          <w:bCs/>
          <w:sz w:val="28"/>
          <w:szCs w:val="28"/>
        </w:rPr>
      </w:pPr>
      <w:r>
        <w:rPr>
          <w:rFonts w:hint="eastAsia" w:eastAsia="仿宋_GB2312" w:cs="仿宋_GB2312"/>
          <w:bCs/>
          <w:sz w:val="28"/>
          <w:szCs w:val="28"/>
        </w:rPr>
        <w:t>填报人（签名）：                          联系电话：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98" w:hRule="atLeast"/>
          <w:jc w:val="center"/>
        </w:trPr>
        <w:tc>
          <w:tcPr>
            <w:tcW w:w="955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kinsoku/>
              <w:overflowPunct/>
              <w:topLinePunct w:val="0"/>
              <w:autoSpaceDE/>
              <w:bidi w:val="0"/>
              <w:spacing w:line="560" w:lineRule="exact"/>
              <w:jc w:val="center"/>
              <w:rPr>
                <w:rFonts w:hint="eastAsia" w:ascii="黑体" w:hAnsi="黑体" w:eastAsia="黑体" w:cs="黑体"/>
                <w:bCs/>
                <w:sz w:val="28"/>
                <w:szCs w:val="28"/>
              </w:rPr>
            </w:pPr>
            <w:r>
              <w:rPr>
                <w:rFonts w:hint="eastAsia" w:ascii="黑体" w:hAnsi="黑体" w:eastAsia="黑体" w:cs="黑体"/>
                <w:bCs/>
                <w:sz w:val="28"/>
                <w:szCs w:val="28"/>
              </w:rPr>
              <w:t>五、评价报告综述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eastAsia" w:eastAsia="仿宋_GB2312"/>
                <w:sz w:val="32"/>
                <w:szCs w:val="32"/>
              </w:rPr>
            </w:pP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</w:rPr>
              <w:t>一、部门（单位）概况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云溪区委巡察办始终将巡察作为首要任务，合理合规使用巡察经费保障巡察项目的合理正确运行，本单位无二级机构，核定机构编制13人，实际人数11人。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巡察办2023年总收入为283.14万元，其中：财政拨款收入总预算283.14万元，其中：一般公共预算拨款收入280.53万元，其他资金2.6万元。其中：基本支出172.01万元；项目支出27.14万元。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二、一般公共预算支出情况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（一）基本支出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情况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我单位努力提高巡察资金效益，确保每一分钱用在刀刃上。基本支出的主要方面为：人员支出136.67万元；公用支出37.76万元。我单位还按照上级要求，从制度上对“三公”经费支出进行了规范。巡察办“三公经费”预算总额1万元，本年实际支出0.43万元，总额控制很好。因公出国费用及公务车购置费没有列入年初预算，也没有财政追加，本年无发生数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（二）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支出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eastAsia="zh-CN"/>
              </w:rPr>
              <w:t>情况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default" w:ascii="宋体" w:hAnsi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Cs/>
                <w:sz w:val="24"/>
                <w:szCs w:val="24"/>
                <w:lang w:val="en-US" w:eastAsia="zh-CN"/>
              </w:rPr>
              <w:t>2023年，我单位在项目支出资金为24.73万元，其中专项商品和服务支出24.73万元，主要用于常规巡察和专项巡察的日常开支。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三、政府性基金预算支出情况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default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无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国有资本经营预算支出情况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textAlignment w:val="auto"/>
              <w:rPr>
                <w:rFonts w:hint="default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 xml:space="preserve">    无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社会保险基金预算支出情况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200"/>
              <w:textAlignment w:val="auto"/>
              <w:rPr>
                <w:rFonts w:hint="default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无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Cs/>
                <w:sz w:val="24"/>
                <w:szCs w:val="24"/>
                <w:lang w:val="en-US" w:eastAsia="zh-CN"/>
              </w:rPr>
              <w:t>六、部门整体支出绩效情况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巡察办严格执行预算不断优化资金支出结构，提高资金的使用效益，促进了巡察工作的有序有效开展，有效地抑制了腐败问题的滋生使巡察震慑最大化，使资金的使用效益达到最优。</w:t>
            </w:r>
          </w:p>
          <w:p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  <w:lang w:val="en-US" w:eastAsia="zh-CN"/>
              </w:rPr>
              <w:t>今年以来，共派出8个巡察组，开展2轮常规巡察，巡察了2个街道和12家单位，延伸巡察了8个村（社区）。区委巡察工作坚持有形覆盖和有效覆盖相统一，截至目前，对区直单位巡察覆盖率达47.69%，对村（社区）巡察覆盖率达46.43%。</w:t>
            </w:r>
          </w:p>
          <w:p>
            <w:pPr>
              <w:pStyle w:val="8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七、存在的问题及原因分析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财务人员业务能力不强，水平有待提高。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80" w:firstLineChars="200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下一步改进措施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加强资金的使用效率，合理控制预算，提高财务人员的业务能力。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480" w:firstLineChars="200"/>
              <w:jc w:val="left"/>
              <w:textAlignment w:val="auto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其他需要说明的情况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Chars="200"/>
              <w:jc w:val="left"/>
              <w:textAlignment w:val="auto"/>
              <w:rPr>
                <w:rFonts w:hint="default" w:ascii="黑体" w:hAnsi="黑体" w:eastAsia="黑体" w:cs="黑体"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 xml:space="preserve"> 无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outside" w:y="1"/>
      <w:rPr>
        <w:rStyle w:val="6"/>
        <w:sz w:val="24"/>
        <w:szCs w:val="24"/>
      </w:rPr>
    </w:pPr>
    <w:r>
      <w:rPr>
        <w:rStyle w:val="6"/>
        <w:rFonts w:hint="eastAsia"/>
        <w:sz w:val="24"/>
        <w:szCs w:val="24"/>
      </w:rPr>
      <w:t xml:space="preserve">— </w:t>
    </w:r>
    <w:r>
      <w:rPr>
        <w:sz w:val="24"/>
        <w:szCs w:val="24"/>
      </w:rPr>
      <w:fldChar w:fldCharType="begin"/>
    </w:r>
    <w:r>
      <w:rPr>
        <w:rStyle w:val="6"/>
        <w:sz w:val="24"/>
        <w:szCs w:val="24"/>
      </w:rPr>
      <w:instrText xml:space="preserve">PAGE  </w:instrText>
    </w:r>
    <w:r>
      <w:rPr>
        <w:sz w:val="24"/>
        <w:szCs w:val="24"/>
      </w:rPr>
      <w:fldChar w:fldCharType="separate"/>
    </w:r>
    <w:r>
      <w:rPr>
        <w:rStyle w:val="6"/>
        <w:sz w:val="24"/>
        <w:szCs w:val="24"/>
      </w:rPr>
      <w:t>2</w:t>
    </w:r>
    <w:r>
      <w:rPr>
        <w:sz w:val="24"/>
        <w:szCs w:val="24"/>
      </w:rPr>
      <w:fldChar w:fldCharType="end"/>
    </w:r>
    <w:r>
      <w:rPr>
        <w:rStyle w:val="6"/>
        <w:rFonts w:hint="eastAsia"/>
        <w:sz w:val="24"/>
        <w:szCs w:val="24"/>
      </w:rPr>
      <w:t xml:space="preserve"> —</w:t>
    </w:r>
  </w:p>
  <w:p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framePr w:wrap="around" w:vAnchor="text" w:hAnchor="margin" w:xAlign="outside" w:y="1"/>
    </w:pPr>
    <w:r>
      <w:fldChar w:fldCharType="begin"/>
    </w:r>
    <w:r>
      <w:instrText xml:space="preserve">PAGE  </w:instrText>
    </w:r>
    <w:r>
      <w:fldChar w:fldCharType="separate"/>
    </w:r>
    <w:r>
      <w:t>- 15 -</w:t>
    </w:r>
    <w:r>
      <w:fldChar w:fldCharType="end"/>
    </w:r>
  </w:p>
  <w:p>
    <w:pPr>
      <w:ind w:right="360" w:firstLine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C792070"/>
    <w:multiLevelType w:val="singleLevel"/>
    <w:tmpl w:val="8C79207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2A0EE0"/>
    <w:multiLevelType w:val="singleLevel"/>
    <w:tmpl w:val="F42A0EE0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3MzJkOTU5NmJlNjQyNzY1N2FhNGE5YTU1OTBhNzMifQ=="/>
  </w:docVars>
  <w:rsids>
    <w:rsidRoot w:val="04D7721F"/>
    <w:rsid w:val="04D7721F"/>
    <w:rsid w:val="31E11308"/>
    <w:rsid w:val="6A244C92"/>
    <w:rsid w:val="76293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qFormat="1"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index 5"/>
    <w:basedOn w:val="1"/>
    <w:next w:val="1"/>
    <w:qFormat/>
    <w:uiPriority w:val="0"/>
    <w:pPr>
      <w:ind w:left="1680"/>
    </w:pPr>
  </w:style>
  <w:style w:type="character" w:styleId="6">
    <w:name w:val="page number"/>
    <w:qFormat/>
    <w:uiPriority w:val="0"/>
  </w:style>
  <w:style w:type="paragraph" w:customStyle="1" w:styleId="7">
    <w:name w:val="BodyText1I"/>
    <w:basedOn w:val="1"/>
    <w:qFormat/>
    <w:uiPriority w:val="99"/>
    <w:pPr>
      <w:snapToGrid w:val="0"/>
      <w:spacing w:line="360" w:lineRule="auto"/>
      <w:ind w:firstLine="420" w:firstLineChars="100"/>
    </w:pPr>
    <w:rPr>
      <w:sz w:val="28"/>
      <w:szCs w:val="20"/>
    </w:rPr>
  </w:style>
  <w:style w:type="paragraph" w:styleId="8">
    <w:name w:val="List Paragraph"/>
    <w:basedOn w:val="1"/>
    <w:qFormat/>
    <w:uiPriority w:val="99"/>
    <w:pPr>
      <w:ind w:firstLine="420" w:firstLineChars="200"/>
    </w:pPr>
    <w:rPr>
      <w:rFonts w:ascii="Calibri" w:hAnsi="Calibri" w:eastAsia="宋体" w:cs="Times New Roman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2024-05-27T09:34:00Z</dcterms:created>
  <dc:creator>Administrator</dc:creator>
  <cp:lastModifiedBy>Administrator</cp:lastModifiedBy>
  <dcterms:modified xsi:type="dcterms:W3CDTF">2024-06-19T03:32:41Z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0AB0CB7BE60B4F418CF322B960BD751F_11</vt:lpwstr>
  </property>
</Properties>
</file>