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ind w:firstLine="964" w:firstLineChars="300"/>
        <w:rPr>
          <w:rFonts w:hint="eastAsia" w:ascii="仿宋_GB2312" w:eastAsia="仿宋_GB2312"/>
          <w:b/>
          <w:bCs/>
          <w:sz w:val="32"/>
          <w:szCs w:val="32"/>
        </w:rPr>
      </w:pPr>
    </w:p>
    <w:p>
      <w:pPr>
        <w:spacing w:line="600" w:lineRule="exact"/>
        <w:ind w:firstLine="1325" w:firstLineChars="300"/>
        <w:rPr>
          <w:rFonts w:hint="eastAsia" w:ascii="仿宋_GB2312" w:eastAsia="仿宋_GB2312"/>
          <w:b/>
          <w:bCs/>
          <w:sz w:val="44"/>
          <w:szCs w:val="44"/>
        </w:rPr>
      </w:pPr>
      <w:r>
        <w:rPr>
          <w:rFonts w:hint="eastAsia" w:ascii="仿宋_GB2312" w:eastAsia="仿宋_GB2312"/>
          <w:b/>
          <w:bCs/>
          <w:sz w:val="44"/>
          <w:szCs w:val="44"/>
        </w:rPr>
        <w:t>202</w:t>
      </w:r>
      <w:r>
        <w:rPr>
          <w:rFonts w:hint="eastAsia" w:ascii="仿宋_GB2312" w:eastAsia="仿宋_GB2312"/>
          <w:b/>
          <w:bCs/>
          <w:sz w:val="44"/>
          <w:szCs w:val="44"/>
          <w:lang w:val="en-US" w:eastAsia="zh-CN"/>
        </w:rPr>
        <w:t>1</w:t>
      </w:r>
      <w:r>
        <w:rPr>
          <w:rFonts w:hint="eastAsia" w:ascii="仿宋_GB2312" w:eastAsia="仿宋_GB2312"/>
          <w:b/>
          <w:bCs/>
          <w:sz w:val="44"/>
          <w:szCs w:val="44"/>
        </w:rPr>
        <w:t>年度部门整体支出绩效报告</w:t>
      </w:r>
    </w:p>
    <w:p>
      <w:pPr>
        <w:spacing w:line="600" w:lineRule="exact"/>
        <w:ind w:firstLine="1325" w:firstLineChars="300"/>
        <w:rPr>
          <w:rFonts w:hint="eastAsia" w:ascii="仿宋_GB2312" w:eastAsia="仿宋_GB2312"/>
          <w:b/>
          <w:bCs/>
          <w:sz w:val="44"/>
          <w:szCs w:val="44"/>
        </w:rPr>
      </w:pPr>
    </w:p>
    <w:p>
      <w:pPr>
        <w:spacing w:line="600" w:lineRule="exact"/>
        <w:ind w:firstLine="964" w:firstLineChars="300"/>
        <w:rPr>
          <w:rFonts w:ascii="仿宋_GB2312" w:eastAsia="仿宋_GB2312"/>
          <w:b/>
          <w:bCs/>
          <w:sz w:val="32"/>
          <w:szCs w:val="32"/>
        </w:rPr>
      </w:pPr>
      <w:r>
        <w:rPr>
          <w:rFonts w:hint="eastAsia" w:ascii="仿宋_GB2312" w:eastAsia="仿宋_GB2312"/>
          <w:b/>
          <w:bCs/>
          <w:sz w:val="32"/>
          <w:szCs w:val="32"/>
        </w:rPr>
        <w:t>一、部门概况</w:t>
      </w:r>
    </w:p>
    <w:p>
      <w:pPr>
        <w:spacing w:line="600" w:lineRule="exact"/>
        <w:ind w:firstLine="964" w:firstLineChars="300"/>
        <w:rPr>
          <w:rFonts w:hint="eastAsia" w:ascii="仿宋_GB2312" w:eastAsia="仿宋_GB2312"/>
          <w:b/>
          <w:bCs/>
          <w:sz w:val="32"/>
          <w:szCs w:val="32"/>
        </w:rPr>
      </w:pPr>
      <w:r>
        <w:rPr>
          <w:rFonts w:hint="eastAsia" w:ascii="仿宋_GB2312" w:eastAsia="仿宋_GB2312"/>
          <w:b/>
          <w:bCs/>
          <w:sz w:val="32"/>
          <w:szCs w:val="32"/>
        </w:rPr>
        <w:t>（一）机构、人员构成</w:t>
      </w:r>
    </w:p>
    <w:p>
      <w:pPr>
        <w:spacing w:line="600" w:lineRule="exact"/>
        <w:ind w:firstLine="960" w:firstLineChars="300"/>
        <w:rPr>
          <w:rFonts w:hint="eastAsia" w:ascii="仿宋_GB2312" w:eastAsia="仿宋_GB2312"/>
          <w:sz w:val="32"/>
          <w:szCs w:val="32"/>
        </w:rPr>
      </w:pPr>
      <w:r>
        <w:rPr>
          <w:rFonts w:hint="eastAsia" w:ascii="仿宋_GB2312" w:eastAsia="仿宋_GB2312"/>
          <w:sz w:val="32"/>
          <w:szCs w:val="32"/>
        </w:rPr>
        <w:t>鼎城区农村经营服务站属正科级事业单位，全额财政拨款。单位编制数1</w:t>
      </w:r>
      <w:r>
        <w:rPr>
          <w:rFonts w:hint="eastAsia" w:ascii="仿宋_GB2312" w:eastAsia="仿宋_GB2312"/>
          <w:sz w:val="32"/>
          <w:szCs w:val="32"/>
          <w:lang w:val="en-US" w:eastAsia="zh-CN"/>
        </w:rPr>
        <w:t>8</w:t>
      </w:r>
      <w:r>
        <w:rPr>
          <w:rFonts w:hint="eastAsia" w:ascii="仿宋_GB2312" w:eastAsia="仿宋_GB2312"/>
          <w:sz w:val="32"/>
          <w:szCs w:val="32"/>
        </w:rPr>
        <w:t>人，在职1</w:t>
      </w:r>
      <w:r>
        <w:rPr>
          <w:rFonts w:hint="eastAsia" w:ascii="仿宋_GB2312" w:eastAsia="仿宋_GB2312"/>
          <w:sz w:val="32"/>
          <w:szCs w:val="32"/>
          <w:lang w:val="en-US" w:eastAsia="zh-CN"/>
        </w:rPr>
        <w:t>9</w:t>
      </w:r>
      <w:r>
        <w:rPr>
          <w:rFonts w:hint="eastAsia" w:ascii="仿宋_GB2312" w:eastAsia="仿宋_GB2312"/>
          <w:sz w:val="32"/>
          <w:szCs w:val="32"/>
        </w:rPr>
        <w:t>人，离退休1</w:t>
      </w:r>
      <w:r>
        <w:rPr>
          <w:rFonts w:hint="eastAsia" w:ascii="仿宋_GB2312" w:eastAsia="仿宋_GB2312"/>
          <w:sz w:val="32"/>
          <w:szCs w:val="32"/>
          <w:lang w:val="en-US" w:eastAsia="zh-CN"/>
        </w:rPr>
        <w:t>5</w:t>
      </w:r>
      <w:r>
        <w:rPr>
          <w:rFonts w:hint="eastAsia" w:ascii="仿宋_GB2312" w:eastAsia="仿宋_GB2312"/>
          <w:sz w:val="32"/>
          <w:szCs w:val="32"/>
        </w:rPr>
        <w:t>人。内设一室四股以及一个二级机构，即综合办公室、农村土地承包管理股、农民负担股、农村集体资产管理股、新型经营主体指导股以及所属二级机构（农村土地承包纠纷调解仲裁办公室）；二级机构没有实行独立财务核算，纳入预算管理，属于全额财政拨款</w:t>
      </w:r>
      <w:r>
        <w:rPr>
          <w:rFonts w:hint="eastAsia" w:ascii="仿宋_GB2312" w:eastAsia="仿宋_GB2312"/>
          <w:sz w:val="32"/>
          <w:szCs w:val="32"/>
          <w:lang w:val="en-US" w:eastAsia="zh-CN"/>
        </w:rPr>
        <w:t>股级</w:t>
      </w:r>
      <w:r>
        <w:rPr>
          <w:rFonts w:hint="eastAsia" w:ascii="仿宋_GB2312" w:eastAsia="仿宋_GB2312"/>
          <w:sz w:val="32"/>
          <w:szCs w:val="32"/>
        </w:rPr>
        <w:t>事业单位。</w:t>
      </w:r>
    </w:p>
    <w:p>
      <w:pPr>
        <w:numPr>
          <w:ilvl w:val="0"/>
          <w:numId w:val="1"/>
        </w:numPr>
        <w:spacing w:line="600" w:lineRule="exact"/>
        <w:ind w:firstLine="643" w:firstLineChars="200"/>
        <w:rPr>
          <w:rFonts w:hint="eastAsia" w:ascii="Times New Roman" w:hAnsi="Times New Roman" w:eastAsia="仿宋_GB2312"/>
          <w:color w:val="222222"/>
          <w:kern w:val="0"/>
          <w:sz w:val="32"/>
          <w:szCs w:val="32"/>
        </w:rPr>
      </w:pPr>
      <w:r>
        <w:rPr>
          <w:rFonts w:ascii="仿宋_GB2312" w:hAnsi="Times New Roman" w:eastAsia="仿宋_GB2312"/>
          <w:b/>
          <w:bCs/>
          <w:color w:val="222222"/>
          <w:kern w:val="0"/>
          <w:sz w:val="32"/>
          <w:szCs w:val="32"/>
        </w:rPr>
        <w:t>单位主要职责</w:t>
      </w:r>
    </w:p>
    <w:p>
      <w:pPr>
        <w:spacing w:line="600" w:lineRule="exact"/>
        <w:ind w:firstLine="960" w:firstLineChars="300"/>
        <w:rPr>
          <w:rFonts w:ascii="仿宋_GB2312" w:eastAsia="仿宋_GB2312"/>
          <w:sz w:val="32"/>
          <w:szCs w:val="32"/>
        </w:rPr>
      </w:pPr>
      <w:r>
        <w:rPr>
          <w:rFonts w:hint="eastAsia" w:ascii="仿宋_GB2312" w:eastAsia="仿宋_GB2312"/>
          <w:sz w:val="32"/>
          <w:szCs w:val="32"/>
        </w:rPr>
        <w:t>区农村经营服务站受区农业</w:t>
      </w:r>
      <w:r>
        <w:rPr>
          <w:rFonts w:hint="eastAsia" w:ascii="仿宋_GB2312" w:eastAsia="仿宋_GB2312"/>
          <w:sz w:val="32"/>
          <w:szCs w:val="32"/>
          <w:lang w:val="en-US" w:eastAsia="zh-CN"/>
        </w:rPr>
        <w:t>农村</w:t>
      </w:r>
      <w:r>
        <w:rPr>
          <w:rFonts w:hint="eastAsia" w:ascii="仿宋_GB2312" w:eastAsia="仿宋_GB2312"/>
          <w:sz w:val="32"/>
          <w:szCs w:val="32"/>
        </w:rPr>
        <w:t>局委托，承担农村经营管理相关行政职能。其主要职责是：</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（一）贯彻执行国家、省、市有关农村经营管理的方针政策和法律法规，参与起草我区有关农村经营管理的规范性文件并指导实施。</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（二）参与农村改革创新有关工作，承担深化农村经营体制改革等方面政策建议的调研、起草工作。</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（三）参与指导农村土地承包合同管理和承包经营权流转工作，承办权限内农村土地承包合同和经营权流转纠纷的调解、仲裁工作。</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（四）指导农民专业合作组织、家庭农场及其他新型农业经营主体的建设与发展，参与推进村级集体经济发展和农村集体经济组织建设，指导农村集体经济组织的财务会计业务和审计业务。</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（五）开展农村经济收支、农民收入、农民专业合作组织与农村集体经济组织运行情况监测、统计和调查。</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（六）承担农民负担监测工作，参与农民负担督查，协助调查涉及农民负担的有关案（事）件，承担区农民负担监督管理领导小组办公室日常工作。</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（七）指导全区农村经营管理体系和农村财会队伍建设。</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（八）监督管理全区农村宅基地工作。</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（九）承办区委、区政府和区农业农村局交办的其他事项。</w:t>
      </w:r>
    </w:p>
    <w:p>
      <w:pPr>
        <w:widowControl/>
        <w:spacing w:line="560" w:lineRule="exact"/>
        <w:ind w:firstLine="640"/>
        <w:rPr>
          <w:rFonts w:hint="eastAsia" w:ascii="Times New Roman" w:hAnsi="Times New Roman" w:eastAsia="仿宋_GB2312"/>
          <w:color w:val="222222"/>
          <w:kern w:val="0"/>
          <w:sz w:val="32"/>
          <w:szCs w:val="32"/>
        </w:rPr>
      </w:pPr>
      <w:r>
        <w:rPr>
          <w:rFonts w:ascii="Times New Roman" w:hAnsi="Times New Roman" w:eastAsia="仿宋_GB2312"/>
          <w:color w:val="222222"/>
          <w:kern w:val="0"/>
          <w:sz w:val="32"/>
          <w:szCs w:val="32"/>
        </w:rPr>
        <w:t xml:space="preserve"> </w:t>
      </w:r>
    </w:p>
    <w:p>
      <w:pPr>
        <w:widowControl/>
        <w:spacing w:line="560" w:lineRule="exact"/>
        <w:ind w:firstLine="640"/>
        <w:rPr>
          <w:rFonts w:ascii="Times New Roman" w:hAnsi="Times New Roman" w:eastAsia="黑体"/>
          <w:color w:val="222222"/>
          <w:kern w:val="0"/>
          <w:sz w:val="32"/>
          <w:szCs w:val="32"/>
        </w:rPr>
      </w:pPr>
      <w:r>
        <w:rPr>
          <w:rFonts w:ascii="黑体" w:hAnsi="黑体" w:eastAsia="黑体"/>
          <w:color w:val="222222"/>
          <w:kern w:val="0"/>
          <w:sz w:val="36"/>
          <w:szCs w:val="36"/>
        </w:rPr>
        <w:t>二、部门财务情况</w:t>
      </w:r>
    </w:p>
    <w:p>
      <w:pPr>
        <w:spacing w:line="600" w:lineRule="exact"/>
        <w:ind w:firstLine="640" w:firstLineChars="200"/>
        <w:rPr>
          <w:b/>
          <w:sz w:val="30"/>
          <w:szCs w:val="30"/>
        </w:rPr>
      </w:pPr>
      <w:r>
        <w:rPr>
          <w:rFonts w:ascii="仿宋" w:hAnsi="仿宋" w:eastAsia="仿宋"/>
          <w:color w:val="222222"/>
          <w:kern w:val="0"/>
          <w:sz w:val="32"/>
          <w:szCs w:val="32"/>
        </w:rPr>
        <w:t>（一）</w:t>
      </w:r>
      <w:r>
        <w:rPr>
          <w:rFonts w:ascii="仿宋" w:hAnsi="仿宋" w:eastAsia="仿宋"/>
          <w:kern w:val="0"/>
          <w:sz w:val="32"/>
          <w:szCs w:val="32"/>
        </w:rPr>
        <w:t>部门整体支出情况</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1、</w:t>
      </w:r>
      <w:r>
        <w:rPr>
          <w:rFonts w:hint="eastAsia" w:ascii="仿宋_GB2312" w:eastAsia="仿宋_GB2312"/>
          <w:sz w:val="32"/>
          <w:szCs w:val="32"/>
          <w:lang w:eastAsia="zh-CN"/>
        </w:rPr>
        <w:t>2021</w:t>
      </w:r>
      <w:r>
        <w:rPr>
          <w:rFonts w:hint="eastAsia" w:ascii="仿宋_GB2312" w:eastAsia="仿宋_GB2312"/>
          <w:sz w:val="32"/>
          <w:szCs w:val="32"/>
        </w:rPr>
        <w:t>年总收入</w:t>
      </w:r>
      <w:r>
        <w:rPr>
          <w:rFonts w:hint="eastAsia" w:ascii="仿宋_GB2312" w:eastAsia="仿宋_GB2312"/>
          <w:sz w:val="32"/>
          <w:szCs w:val="32"/>
          <w:lang w:val="en-US" w:eastAsia="zh-CN"/>
        </w:rPr>
        <w:t>926.784631</w:t>
      </w:r>
      <w:r>
        <w:rPr>
          <w:rFonts w:hint="eastAsia" w:ascii="仿宋_GB2312" w:eastAsia="仿宋_GB2312"/>
          <w:sz w:val="32"/>
          <w:szCs w:val="32"/>
        </w:rPr>
        <w:t>万元，其中一般公共预算财政拨款</w:t>
      </w:r>
      <w:r>
        <w:rPr>
          <w:rFonts w:hint="eastAsia" w:ascii="仿宋_GB2312" w:eastAsia="仿宋_GB2312"/>
          <w:sz w:val="32"/>
          <w:szCs w:val="32"/>
          <w:lang w:val="en-US" w:eastAsia="zh-CN"/>
        </w:rPr>
        <w:t>755.144531</w:t>
      </w:r>
      <w:r>
        <w:rPr>
          <w:rFonts w:hint="eastAsia" w:ascii="仿宋_GB2312" w:eastAsia="仿宋_GB2312"/>
          <w:sz w:val="32"/>
          <w:szCs w:val="32"/>
        </w:rPr>
        <w:t>万元，其他收入</w:t>
      </w:r>
      <w:r>
        <w:rPr>
          <w:rFonts w:hint="eastAsia" w:ascii="仿宋_GB2312" w:eastAsia="仿宋_GB2312"/>
          <w:sz w:val="32"/>
          <w:szCs w:val="32"/>
          <w:lang w:val="en-US" w:eastAsia="zh-CN"/>
        </w:rPr>
        <w:t>171.6401</w:t>
      </w:r>
      <w:r>
        <w:rPr>
          <w:rFonts w:hint="eastAsia" w:ascii="仿宋_GB2312" w:eastAsia="仿宋_GB2312"/>
          <w:sz w:val="32"/>
          <w:szCs w:val="32"/>
        </w:rPr>
        <w:t>万元。</w:t>
      </w:r>
      <w:r>
        <w:rPr>
          <w:rFonts w:hint="eastAsia" w:ascii="仿宋_GB2312" w:eastAsia="仿宋_GB2312"/>
          <w:sz w:val="32"/>
          <w:szCs w:val="32"/>
          <w:lang w:eastAsia="zh-CN"/>
        </w:rPr>
        <w:t>2021</w:t>
      </w:r>
      <w:r>
        <w:rPr>
          <w:rFonts w:hint="eastAsia" w:ascii="仿宋_GB2312" w:eastAsia="仿宋_GB2312"/>
          <w:sz w:val="32"/>
          <w:szCs w:val="32"/>
        </w:rPr>
        <w:t>年总支出</w:t>
      </w:r>
      <w:r>
        <w:rPr>
          <w:rFonts w:hint="eastAsia" w:ascii="仿宋_GB2312" w:eastAsia="仿宋_GB2312"/>
          <w:sz w:val="32"/>
          <w:szCs w:val="32"/>
          <w:lang w:val="en-US" w:eastAsia="zh-CN"/>
        </w:rPr>
        <w:t>1158.056831</w:t>
      </w:r>
      <w:r>
        <w:rPr>
          <w:rFonts w:hint="eastAsia" w:ascii="仿宋_GB2312" w:eastAsia="仿宋_GB2312"/>
          <w:sz w:val="32"/>
          <w:szCs w:val="32"/>
        </w:rPr>
        <w:t>万元，其中基本支出</w:t>
      </w:r>
      <w:r>
        <w:rPr>
          <w:rFonts w:hint="eastAsia" w:ascii="仿宋_GB2312" w:hAnsi="仿宋_GB2312" w:eastAsia="仿宋_GB2312" w:cs="仿宋_GB2312"/>
          <w:bCs/>
          <w:sz w:val="32"/>
          <w:szCs w:val="32"/>
          <w:lang w:val="en-US" w:eastAsia="zh-CN"/>
        </w:rPr>
        <w:t>322.641284</w:t>
      </w:r>
      <w:r>
        <w:rPr>
          <w:rFonts w:hint="eastAsia" w:ascii="仿宋_GB2312" w:eastAsia="仿宋_GB2312"/>
          <w:sz w:val="32"/>
          <w:szCs w:val="32"/>
        </w:rPr>
        <w:t>万元，项目支出</w:t>
      </w:r>
      <w:r>
        <w:rPr>
          <w:rFonts w:hint="eastAsia" w:ascii="仿宋_GB2312" w:hAnsi="仿宋_GB2312" w:eastAsia="仿宋_GB2312" w:cs="仿宋_GB2312"/>
          <w:bCs/>
          <w:sz w:val="32"/>
          <w:szCs w:val="32"/>
          <w:lang w:val="en-US" w:eastAsia="zh-CN"/>
        </w:rPr>
        <w:t>835.415547</w:t>
      </w:r>
      <w:r>
        <w:rPr>
          <w:rFonts w:hint="eastAsia" w:ascii="仿宋_GB2312" w:eastAsia="仿宋_GB2312"/>
          <w:sz w:val="32"/>
          <w:szCs w:val="32"/>
        </w:rPr>
        <w:t>万元。</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2、一般公共预算财政拨款支出</w:t>
      </w:r>
      <w:r>
        <w:rPr>
          <w:rFonts w:hint="eastAsia" w:ascii="仿宋_GB2312" w:eastAsia="仿宋_GB2312"/>
          <w:sz w:val="32"/>
          <w:szCs w:val="32"/>
          <w:lang w:val="en-US" w:eastAsia="zh-CN"/>
        </w:rPr>
        <w:t>986.416731</w:t>
      </w:r>
      <w:r>
        <w:rPr>
          <w:rFonts w:hint="eastAsia" w:ascii="仿宋_GB2312" w:eastAsia="仿宋_GB2312"/>
          <w:sz w:val="32"/>
          <w:szCs w:val="32"/>
        </w:rPr>
        <w:t>万元，基本支出</w:t>
      </w:r>
      <w:r>
        <w:rPr>
          <w:rFonts w:hint="eastAsia" w:ascii="仿宋_GB2312" w:eastAsia="仿宋_GB2312"/>
          <w:sz w:val="32"/>
          <w:szCs w:val="32"/>
          <w:lang w:val="en-US" w:eastAsia="zh-CN"/>
        </w:rPr>
        <w:t>207.401231</w:t>
      </w:r>
      <w:r>
        <w:rPr>
          <w:rFonts w:hint="eastAsia" w:ascii="仿宋_GB2312" w:eastAsia="仿宋_GB2312"/>
          <w:sz w:val="32"/>
          <w:szCs w:val="32"/>
        </w:rPr>
        <w:t>万元、项目支出</w:t>
      </w:r>
      <w:r>
        <w:rPr>
          <w:rFonts w:hint="eastAsia" w:ascii="仿宋_GB2312" w:eastAsia="仿宋_GB2312"/>
          <w:sz w:val="32"/>
          <w:szCs w:val="32"/>
          <w:lang w:val="en-US" w:eastAsia="zh-CN"/>
        </w:rPr>
        <w:t>779.0155</w:t>
      </w:r>
      <w:r>
        <w:rPr>
          <w:rFonts w:hint="eastAsia" w:ascii="仿宋_GB2312" w:eastAsia="仿宋_GB2312"/>
          <w:sz w:val="32"/>
          <w:szCs w:val="32"/>
        </w:rPr>
        <w:t>万元。</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3、年初结转结余</w:t>
      </w:r>
      <w:r>
        <w:rPr>
          <w:rFonts w:hint="eastAsia" w:ascii="仿宋_GB2312" w:eastAsia="仿宋_GB2312"/>
          <w:sz w:val="32"/>
          <w:szCs w:val="32"/>
          <w:lang w:val="en-US" w:eastAsia="zh-CN"/>
        </w:rPr>
        <w:t>288.342634</w:t>
      </w:r>
      <w:r>
        <w:rPr>
          <w:rFonts w:hint="eastAsia" w:ascii="仿宋_GB2312" w:eastAsia="仿宋_GB2312"/>
          <w:sz w:val="32"/>
          <w:szCs w:val="32"/>
        </w:rPr>
        <w:t>万元；年末结转结余</w:t>
      </w:r>
      <w:r>
        <w:rPr>
          <w:rFonts w:hint="eastAsia" w:ascii="仿宋_GB2312" w:eastAsia="仿宋_GB2312"/>
          <w:sz w:val="32"/>
          <w:szCs w:val="32"/>
          <w:lang w:val="en-US" w:eastAsia="zh-CN"/>
        </w:rPr>
        <w:t>57.070434</w:t>
      </w:r>
      <w:r>
        <w:rPr>
          <w:rFonts w:hint="eastAsia" w:ascii="仿宋_GB2312" w:eastAsia="仿宋_GB2312"/>
          <w:sz w:val="32"/>
          <w:szCs w:val="32"/>
        </w:rPr>
        <w:t>万元，其中项目支出结转结余</w:t>
      </w:r>
      <w:r>
        <w:rPr>
          <w:rFonts w:hint="eastAsia" w:ascii="仿宋_GB2312" w:eastAsia="仿宋_GB2312"/>
          <w:sz w:val="32"/>
          <w:szCs w:val="32"/>
          <w:lang w:val="en-US" w:eastAsia="zh-CN"/>
        </w:rPr>
        <w:t>57.070434</w:t>
      </w:r>
      <w:r>
        <w:rPr>
          <w:rFonts w:hint="eastAsia" w:ascii="仿宋_GB2312" w:eastAsia="仿宋_GB2312"/>
          <w:sz w:val="32"/>
          <w:szCs w:val="32"/>
        </w:rPr>
        <w:t>万元。</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（二）部门预算收支决算情况</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lang w:eastAsia="zh-CN"/>
        </w:rPr>
        <w:t>2021</w:t>
      </w:r>
      <w:r>
        <w:rPr>
          <w:rFonts w:hint="eastAsia" w:ascii="仿宋_GB2312" w:eastAsia="仿宋_GB2312"/>
          <w:sz w:val="32"/>
          <w:szCs w:val="32"/>
        </w:rPr>
        <w:t xml:space="preserve">年度预算收支决算情况: </w:t>
      </w:r>
      <w:r>
        <w:rPr>
          <w:rFonts w:hint="eastAsia" w:ascii="仿宋_GB2312" w:eastAsia="仿宋_GB2312"/>
          <w:sz w:val="32"/>
          <w:szCs w:val="32"/>
          <w:lang w:eastAsia="zh-CN"/>
        </w:rPr>
        <w:t>2021</w:t>
      </w:r>
      <w:r>
        <w:rPr>
          <w:rFonts w:hint="eastAsia" w:ascii="仿宋_GB2312" w:eastAsia="仿宋_GB2312"/>
          <w:sz w:val="32"/>
          <w:szCs w:val="32"/>
        </w:rPr>
        <w:t>年收入决算数</w:t>
      </w:r>
      <w:r>
        <w:rPr>
          <w:rFonts w:hint="eastAsia" w:ascii="仿宋_GB2312" w:eastAsia="仿宋_GB2312"/>
          <w:sz w:val="32"/>
          <w:szCs w:val="32"/>
          <w:lang w:val="en-US" w:eastAsia="zh-CN"/>
        </w:rPr>
        <w:t>926.784631</w:t>
      </w:r>
      <w:r>
        <w:rPr>
          <w:rFonts w:hint="eastAsia" w:ascii="仿宋_GB2312" w:eastAsia="仿宋_GB2312"/>
          <w:sz w:val="32"/>
          <w:szCs w:val="32"/>
        </w:rPr>
        <w:t>万元，其中，预算财政拨款</w:t>
      </w:r>
      <w:r>
        <w:rPr>
          <w:rFonts w:hint="eastAsia" w:ascii="仿宋_GB2312" w:eastAsia="仿宋_GB2312"/>
          <w:sz w:val="32"/>
          <w:szCs w:val="32"/>
          <w:lang w:val="en-US" w:eastAsia="zh-CN"/>
        </w:rPr>
        <w:t>755.144531</w:t>
      </w:r>
      <w:r>
        <w:rPr>
          <w:rFonts w:hint="eastAsia" w:ascii="仿宋_GB2312" w:eastAsia="仿宋_GB2312"/>
          <w:sz w:val="32"/>
          <w:szCs w:val="32"/>
        </w:rPr>
        <w:t>万元，其他收入</w:t>
      </w:r>
      <w:r>
        <w:rPr>
          <w:rFonts w:hint="eastAsia" w:ascii="仿宋_GB2312" w:eastAsia="仿宋_GB2312"/>
          <w:sz w:val="32"/>
          <w:szCs w:val="32"/>
          <w:lang w:val="en-US" w:eastAsia="zh-CN"/>
        </w:rPr>
        <w:t>171.6401</w:t>
      </w:r>
      <w:r>
        <w:rPr>
          <w:rFonts w:hint="eastAsia" w:ascii="仿宋_GB2312" w:eastAsia="仿宋_GB2312"/>
          <w:sz w:val="32"/>
          <w:szCs w:val="32"/>
        </w:rPr>
        <w:t>万元。</w:t>
      </w:r>
      <w:r>
        <w:rPr>
          <w:rFonts w:hint="eastAsia" w:ascii="仿宋_GB2312" w:eastAsia="仿宋_GB2312"/>
          <w:sz w:val="32"/>
          <w:szCs w:val="32"/>
          <w:lang w:eastAsia="zh-CN"/>
        </w:rPr>
        <w:t>2021</w:t>
      </w:r>
      <w:r>
        <w:rPr>
          <w:rFonts w:hint="eastAsia" w:ascii="仿宋_GB2312" w:eastAsia="仿宋_GB2312"/>
          <w:sz w:val="32"/>
          <w:szCs w:val="32"/>
        </w:rPr>
        <w:t>年支出决算数</w:t>
      </w:r>
      <w:r>
        <w:rPr>
          <w:rFonts w:hint="eastAsia" w:ascii="仿宋_GB2312" w:eastAsia="仿宋_GB2312"/>
          <w:sz w:val="32"/>
          <w:szCs w:val="32"/>
          <w:lang w:val="en-US" w:eastAsia="zh-CN"/>
        </w:rPr>
        <w:t>1158.056831</w:t>
      </w:r>
      <w:r>
        <w:rPr>
          <w:rFonts w:hint="eastAsia" w:ascii="仿宋_GB2312" w:eastAsia="仿宋_GB2312"/>
          <w:sz w:val="32"/>
          <w:szCs w:val="32"/>
        </w:rPr>
        <w:t>万元，基本支出</w:t>
      </w:r>
      <w:r>
        <w:rPr>
          <w:rFonts w:hint="eastAsia" w:ascii="仿宋_GB2312" w:hAnsi="仿宋_GB2312" w:eastAsia="仿宋_GB2312" w:cs="仿宋_GB2312"/>
          <w:bCs/>
          <w:sz w:val="32"/>
          <w:szCs w:val="32"/>
          <w:lang w:val="en-US" w:eastAsia="zh-CN"/>
        </w:rPr>
        <w:t>322.641284</w:t>
      </w:r>
      <w:r>
        <w:rPr>
          <w:rFonts w:hint="eastAsia" w:ascii="仿宋_GB2312" w:eastAsia="仿宋_GB2312"/>
          <w:sz w:val="32"/>
          <w:szCs w:val="32"/>
        </w:rPr>
        <w:t>万元、项目支出</w:t>
      </w:r>
      <w:r>
        <w:rPr>
          <w:rFonts w:hint="eastAsia" w:ascii="仿宋_GB2312" w:hAnsi="仿宋_GB2312" w:eastAsia="仿宋_GB2312" w:cs="仿宋_GB2312"/>
          <w:bCs/>
          <w:sz w:val="32"/>
          <w:szCs w:val="32"/>
          <w:lang w:val="en-US" w:eastAsia="zh-CN"/>
        </w:rPr>
        <w:t>835.415547</w:t>
      </w:r>
      <w:r>
        <w:rPr>
          <w:rFonts w:hint="eastAsia" w:ascii="仿宋_GB2312" w:eastAsia="仿宋_GB2312"/>
          <w:sz w:val="32"/>
          <w:szCs w:val="32"/>
        </w:rPr>
        <w:t>万元；年初结转结余288.342634万元，年末结转结余</w:t>
      </w:r>
      <w:r>
        <w:rPr>
          <w:rFonts w:hint="eastAsia" w:ascii="仿宋_GB2312" w:eastAsia="仿宋_GB2312"/>
          <w:sz w:val="32"/>
          <w:szCs w:val="32"/>
          <w:lang w:val="en-US" w:eastAsia="zh-CN"/>
        </w:rPr>
        <w:t>57.070434</w:t>
      </w:r>
      <w:r>
        <w:rPr>
          <w:rFonts w:hint="eastAsia" w:ascii="仿宋_GB2312" w:eastAsia="仿宋_GB2312"/>
          <w:sz w:val="32"/>
          <w:szCs w:val="32"/>
        </w:rPr>
        <w:t>万元。</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（三）“三公经费”支出使用和管理情况</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1</w:t>
      </w:r>
      <w:r>
        <w:rPr>
          <w:rFonts w:hint="eastAsia" w:ascii="仿宋_GB2312" w:eastAsia="仿宋_GB2312"/>
          <w:sz w:val="32"/>
          <w:szCs w:val="32"/>
        </w:rPr>
        <w:t>年“三公”经费预算为1万元，比上年预算无增减，其中公务接待支出1万元、没有因公出国(境)支出、本单位没有公务车。202</w:t>
      </w:r>
      <w:r>
        <w:rPr>
          <w:rFonts w:hint="eastAsia" w:ascii="仿宋_GB2312" w:eastAsia="仿宋_GB2312"/>
          <w:sz w:val="32"/>
          <w:szCs w:val="32"/>
          <w:lang w:val="en-US" w:eastAsia="zh-CN"/>
        </w:rPr>
        <w:t>1</w:t>
      </w:r>
      <w:r>
        <w:rPr>
          <w:rFonts w:hint="eastAsia" w:ascii="仿宋_GB2312" w:eastAsia="仿宋_GB2312"/>
          <w:sz w:val="32"/>
          <w:szCs w:val="32"/>
        </w:rPr>
        <w:t>年我单位在接待方面严格执行“三定”、“四不准”制度，厉行节约，反对浪费，实行光盘行动，“三公”经费支出</w:t>
      </w:r>
      <w:r>
        <w:rPr>
          <w:rFonts w:hint="eastAsia" w:ascii="仿宋_GB2312" w:eastAsia="仿宋_GB2312"/>
          <w:sz w:val="32"/>
          <w:szCs w:val="32"/>
          <w:lang w:val="en-US" w:eastAsia="zh-CN"/>
        </w:rPr>
        <w:t>2.3</w:t>
      </w:r>
      <w:r>
        <w:rPr>
          <w:rFonts w:hint="eastAsia" w:ascii="仿宋_GB2312" w:eastAsia="仿宋_GB2312"/>
          <w:sz w:val="32"/>
          <w:szCs w:val="32"/>
        </w:rPr>
        <w:t>万元，不存在公款大吃大喝及高消费娱乐等情况。</w:t>
      </w:r>
    </w:p>
    <w:p>
      <w:pPr>
        <w:spacing w:line="600" w:lineRule="exact"/>
        <w:ind w:firstLine="643" w:firstLineChars="200"/>
        <w:rPr>
          <w:rFonts w:hint="eastAsia" w:ascii="仿宋_GB2312" w:eastAsia="仿宋_GB2312"/>
          <w:b/>
          <w:bCs/>
          <w:sz w:val="32"/>
          <w:szCs w:val="32"/>
        </w:rPr>
      </w:pPr>
      <w:r>
        <w:rPr>
          <w:rFonts w:hint="eastAsia" w:ascii="仿宋_GB2312" w:eastAsia="仿宋_GB2312"/>
          <w:b/>
          <w:bCs/>
          <w:sz w:val="32"/>
          <w:szCs w:val="32"/>
        </w:rPr>
        <w:t>三、部门绩效目标</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（一）部门绩效总目标</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农村土地确权登记颁证</w:t>
      </w:r>
      <w:r>
        <w:rPr>
          <w:rFonts w:hint="eastAsia" w:ascii="仿宋_GB2312" w:eastAsia="仿宋_GB2312"/>
          <w:sz w:val="32"/>
          <w:szCs w:val="32"/>
          <w:lang w:val="en-US" w:eastAsia="zh-CN"/>
        </w:rPr>
        <w:t>及第二轮承包到期后再延长30年国家级试点工作</w:t>
      </w:r>
      <w:r>
        <w:rPr>
          <w:rFonts w:hint="eastAsia" w:ascii="仿宋_GB2312" w:eastAsia="仿宋_GB2312"/>
          <w:sz w:val="32"/>
          <w:szCs w:val="32"/>
        </w:rPr>
        <w:t>、</w:t>
      </w:r>
      <w:r>
        <w:rPr>
          <w:rFonts w:hint="eastAsia" w:ascii="仿宋_GB2312" w:eastAsia="仿宋_GB2312"/>
          <w:sz w:val="32"/>
          <w:szCs w:val="32"/>
          <w:lang w:val="en-US" w:eastAsia="zh-CN"/>
        </w:rPr>
        <w:t>农村集体产权制度改革</w:t>
      </w:r>
      <w:r>
        <w:rPr>
          <w:rFonts w:hint="eastAsia" w:ascii="仿宋_GB2312" w:eastAsia="仿宋_GB2312"/>
          <w:sz w:val="32"/>
          <w:szCs w:val="32"/>
        </w:rPr>
        <w:t>的工作；维护农民</w:t>
      </w:r>
      <w:r>
        <w:rPr>
          <w:rFonts w:hint="eastAsia" w:ascii="仿宋_GB2312" w:eastAsia="仿宋_GB2312"/>
          <w:sz w:val="32"/>
          <w:szCs w:val="32"/>
          <w:lang w:val="en-US" w:eastAsia="zh-CN"/>
        </w:rPr>
        <w:t>合法</w:t>
      </w:r>
      <w:r>
        <w:rPr>
          <w:rFonts w:hint="eastAsia" w:ascii="仿宋_GB2312" w:eastAsia="仿宋_GB2312"/>
          <w:sz w:val="32"/>
          <w:szCs w:val="32"/>
        </w:rPr>
        <w:t>权益工作；农村村级财务审计工作；农村新型经营主体发展工作；农村宅基地</w:t>
      </w:r>
      <w:r>
        <w:rPr>
          <w:rFonts w:hint="eastAsia" w:ascii="仿宋_GB2312" w:eastAsia="仿宋_GB2312"/>
          <w:sz w:val="32"/>
          <w:szCs w:val="32"/>
          <w:lang w:val="en-US" w:eastAsia="zh-CN"/>
        </w:rPr>
        <w:t>管理</w:t>
      </w:r>
      <w:r>
        <w:rPr>
          <w:rFonts w:hint="eastAsia" w:ascii="仿宋_GB2312" w:eastAsia="仿宋_GB2312"/>
          <w:sz w:val="32"/>
          <w:szCs w:val="32"/>
        </w:rPr>
        <w:t>工作。</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（二）202</w:t>
      </w:r>
      <w:r>
        <w:rPr>
          <w:rFonts w:hint="eastAsia" w:ascii="仿宋_GB2312" w:eastAsia="仿宋_GB2312"/>
          <w:sz w:val="32"/>
          <w:szCs w:val="32"/>
          <w:lang w:val="en-US" w:eastAsia="zh-CN"/>
        </w:rPr>
        <w:t>1</w:t>
      </w:r>
      <w:r>
        <w:rPr>
          <w:rFonts w:hint="eastAsia" w:ascii="仿宋_GB2312" w:eastAsia="仿宋_GB2312"/>
          <w:sz w:val="32"/>
          <w:szCs w:val="32"/>
        </w:rPr>
        <w:t>年度部门绩效目标</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1、指导稳定和完善农村家庭承包经营为基础、统分结合的双层经营体制工作，指导农村土地（包括“四荒”资源）承包与流转以及农村承包合同的签订、签证、履行、变更、纠纷调解与仲裁及合同档案管理，维护农民</w:t>
      </w:r>
      <w:r>
        <w:rPr>
          <w:rFonts w:hint="eastAsia" w:ascii="仿宋_GB2312" w:eastAsia="仿宋_GB2312"/>
          <w:sz w:val="32"/>
          <w:szCs w:val="32"/>
          <w:lang w:val="en-US" w:eastAsia="zh-CN"/>
        </w:rPr>
        <w:t>合法</w:t>
      </w:r>
      <w:r>
        <w:rPr>
          <w:rFonts w:hint="eastAsia" w:ascii="仿宋_GB2312" w:eastAsia="仿宋_GB2312"/>
          <w:sz w:val="32"/>
          <w:szCs w:val="32"/>
        </w:rPr>
        <w:t>权益。</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2、宣传贯彻减轻农民负担的法律法规和政策，监督村内公益事业“一事一议”筹资筹劳、国家强农惠农补贴政策的落实。参与审核涉及农民负担的政策文件，指导编制和备案审查农民负担预决算方案，接待承办涉负信访，配合查处涉负案件。组织开展涉农收费部门的专项清理与专项审计，维护农民权益。</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3、指导村级财务管理、农村基层干部经济责任审计，农村经济统计工作，维护农村稳定。</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4、农村新型经营主体管理、建设指导、培训、项目申报工作，进一步发展壮大农村新型经营主体，增加农民收入，促进农村繁荣发展、乡村振兴。</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5、抓好农村土地确权登记颁证</w:t>
      </w:r>
      <w:r>
        <w:rPr>
          <w:rFonts w:hint="eastAsia" w:ascii="仿宋_GB2312" w:eastAsia="仿宋_GB2312"/>
          <w:sz w:val="32"/>
          <w:szCs w:val="32"/>
          <w:lang w:val="en-US" w:eastAsia="zh-CN"/>
        </w:rPr>
        <w:t>及第二轮承包到期后再延长30年国家级试点工作</w:t>
      </w:r>
      <w:r>
        <w:rPr>
          <w:rFonts w:hint="eastAsia" w:ascii="仿宋_GB2312" w:eastAsia="仿宋_GB2312"/>
          <w:sz w:val="32"/>
          <w:szCs w:val="32"/>
        </w:rPr>
        <w:t>、产权制度改革两项改革的工作。</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6、监管农村宅基地工作。</w:t>
      </w:r>
    </w:p>
    <w:p>
      <w:pPr>
        <w:spacing w:line="600" w:lineRule="exact"/>
        <w:ind w:firstLine="321" w:firstLineChars="100"/>
        <w:rPr>
          <w:rFonts w:hint="eastAsia" w:ascii="仿宋_GB2312" w:eastAsia="仿宋_GB2312"/>
          <w:b/>
          <w:bCs/>
          <w:sz w:val="32"/>
          <w:szCs w:val="32"/>
        </w:rPr>
      </w:pPr>
      <w:r>
        <w:rPr>
          <w:rFonts w:hint="eastAsia" w:ascii="仿宋_GB2312" w:eastAsia="仿宋_GB2312"/>
          <w:b/>
          <w:bCs/>
          <w:sz w:val="32"/>
          <w:szCs w:val="32"/>
        </w:rPr>
        <w:t>四、绩效评价工作情况</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根据上级文件绩效评价要求，我单位成立了以主要负责人为组长的绩效评价工作小组，在制定绩效评价工作方案、明确专人的基础上，于</w:t>
      </w:r>
      <w:r>
        <w:rPr>
          <w:rFonts w:hint="eastAsia" w:ascii="仿宋_GB2312" w:eastAsia="仿宋_GB2312"/>
          <w:sz w:val="32"/>
          <w:szCs w:val="32"/>
          <w:lang w:eastAsia="zh-CN"/>
        </w:rPr>
        <w:t>2021</w:t>
      </w:r>
      <w:r>
        <w:rPr>
          <w:rFonts w:hint="eastAsia" w:ascii="仿宋_GB2312" w:eastAsia="仿宋_GB2312"/>
          <w:sz w:val="32"/>
          <w:szCs w:val="32"/>
        </w:rPr>
        <w:t>年12月开始进行现场评价。在评估过程中，结合我单位的实际情况，实施了包括听取情况介绍、收集资料、检查财务会计资料、实地考察、发放问卷调查及与相关人员座谈等形式。在获取了大量的信息和材料之后，认真、客观、深入地对单位履职情况进行了综合分析、归纳总结，按照《部门整体支出绩效评价指标表》相关要求，采用定量分析和定性分析相结合的方法进行评估，最终形成了本单位部门整体支出绩效评价报告。</w:t>
      </w:r>
    </w:p>
    <w:p>
      <w:pPr>
        <w:spacing w:line="600" w:lineRule="exact"/>
        <w:ind w:firstLine="643" w:firstLineChars="200"/>
        <w:rPr>
          <w:rFonts w:hint="eastAsia" w:ascii="仿宋_GB2312" w:eastAsia="仿宋_GB2312"/>
          <w:b/>
          <w:bCs/>
          <w:sz w:val="32"/>
          <w:szCs w:val="32"/>
        </w:rPr>
      </w:pPr>
      <w:r>
        <w:rPr>
          <w:rFonts w:hint="eastAsia" w:ascii="仿宋_GB2312" w:eastAsia="仿宋_GB2312"/>
          <w:b/>
          <w:bCs/>
          <w:sz w:val="32"/>
          <w:szCs w:val="32"/>
        </w:rPr>
        <w:t>五、综合评价结果</w:t>
      </w:r>
    </w:p>
    <w:p>
      <w:pPr>
        <w:spacing w:line="600" w:lineRule="exact"/>
        <w:ind w:firstLine="640" w:firstLineChars="200"/>
        <w:rPr>
          <w:rFonts w:hint="eastAsia" w:ascii="微软雅黑" w:hAnsi="微软雅黑" w:eastAsia="微软雅黑"/>
          <w:color w:val="444444"/>
          <w:shd w:val="clear" w:color="auto" w:fill="FFFFFF"/>
        </w:rPr>
      </w:pPr>
      <w:r>
        <w:rPr>
          <w:rFonts w:hint="eastAsia" w:ascii="仿宋_GB2312" w:eastAsia="仿宋_GB2312"/>
          <w:sz w:val="32"/>
          <w:szCs w:val="32"/>
        </w:rPr>
        <w:t>根据部门整体支出绩效评价指标确定的内容，经评价组综合评价，202</w:t>
      </w:r>
      <w:r>
        <w:rPr>
          <w:rFonts w:hint="eastAsia" w:ascii="仿宋_GB2312" w:eastAsia="仿宋_GB2312"/>
          <w:sz w:val="32"/>
          <w:szCs w:val="32"/>
          <w:lang w:val="en-US" w:eastAsia="zh-CN"/>
        </w:rPr>
        <w:t>1</w:t>
      </w:r>
      <w:r>
        <w:rPr>
          <w:rFonts w:hint="eastAsia" w:ascii="仿宋_GB2312" w:eastAsia="仿宋_GB2312"/>
          <w:sz w:val="32"/>
          <w:szCs w:val="32"/>
        </w:rPr>
        <w:t>年度区农经站整体支出绩效评估评分为9</w:t>
      </w:r>
      <w:r>
        <w:rPr>
          <w:rFonts w:hint="eastAsia" w:ascii="仿宋_GB2312" w:eastAsia="仿宋_GB2312"/>
          <w:sz w:val="32"/>
          <w:szCs w:val="32"/>
          <w:lang w:val="en-US" w:eastAsia="zh-CN"/>
        </w:rPr>
        <w:t>2.5</w:t>
      </w:r>
      <w:r>
        <w:rPr>
          <w:rFonts w:hint="eastAsia" w:ascii="仿宋_GB2312" w:eastAsia="仿宋_GB2312"/>
          <w:sz w:val="32"/>
          <w:szCs w:val="32"/>
        </w:rPr>
        <w:t>分。通过自评，对相关情况和数据进行了重点研究，对执行现状进行了客观分析，进一步明确了绩效工作需要改进的重点</w:t>
      </w:r>
      <w:r>
        <w:rPr>
          <w:rFonts w:hint="eastAsia" w:ascii="微软雅黑" w:hAnsi="微软雅黑" w:eastAsia="微软雅黑"/>
          <w:color w:val="444444"/>
          <w:shd w:val="clear" w:color="auto" w:fill="FFFFFF"/>
        </w:rPr>
        <w:t>。</w:t>
      </w:r>
    </w:p>
    <w:p>
      <w:pPr>
        <w:spacing w:line="600" w:lineRule="exact"/>
        <w:rPr>
          <w:rFonts w:hint="eastAsia" w:ascii="Times New Roman" w:hAnsi="Times New Roman" w:eastAsia="黑体"/>
          <w:color w:val="222222"/>
          <w:kern w:val="0"/>
          <w:sz w:val="32"/>
          <w:szCs w:val="32"/>
        </w:rPr>
      </w:pPr>
      <w:r>
        <w:rPr>
          <w:rFonts w:hint="eastAsia" w:ascii="微软雅黑" w:hAnsi="微软雅黑" w:eastAsia="微软雅黑"/>
          <w:color w:val="444444"/>
          <w:shd w:val="clear" w:color="auto" w:fill="FFFFFF"/>
        </w:rPr>
        <w:t xml:space="preserve"> </w:t>
      </w:r>
      <w:r>
        <w:rPr>
          <w:rFonts w:hint="eastAsia" w:ascii="微软雅黑" w:hAnsi="微软雅黑" w:eastAsia="微软雅黑"/>
          <w:color w:val="444444"/>
          <w:shd w:val="clear" w:color="auto" w:fill="FFFFFF"/>
          <w:lang w:val="en-US" w:eastAsia="zh-CN"/>
        </w:rPr>
        <w:t xml:space="preserve">   </w:t>
      </w:r>
      <w:r>
        <w:rPr>
          <w:rFonts w:ascii="黑体" w:hAnsi="黑体" w:eastAsia="黑体"/>
          <w:color w:val="222222"/>
          <w:kern w:val="0"/>
          <w:sz w:val="32"/>
          <w:szCs w:val="32"/>
        </w:rPr>
        <w:t>六、部门整体支出绩效情况</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eastAsia="仿宋_GB2312" w:cs="Times New Roman"/>
          <w:color w:val="auto"/>
          <w:sz w:val="32"/>
          <w:szCs w:val="32"/>
          <w:lang w:val="en-US" w:eastAsia="zh-CN"/>
        </w:rPr>
      </w:pPr>
      <w:r>
        <w:rPr>
          <w:rFonts w:hint="eastAsia" w:ascii="仿宋_GB2312" w:eastAsia="仿宋_GB2312"/>
          <w:b/>
          <w:bCs/>
          <w:sz w:val="32"/>
          <w:szCs w:val="32"/>
        </w:rPr>
        <w:t>一、农村新型经营主体</w:t>
      </w:r>
      <w:r>
        <w:rPr>
          <w:rFonts w:hint="eastAsia" w:ascii="仿宋_GB2312" w:eastAsia="仿宋_GB2312"/>
          <w:b/>
          <w:bCs/>
          <w:sz w:val="32"/>
          <w:szCs w:val="32"/>
          <w:lang w:val="en-US" w:eastAsia="zh-CN"/>
        </w:rPr>
        <w:t>健康发展</w:t>
      </w:r>
      <w:r>
        <w:rPr>
          <w:rFonts w:hint="eastAsia" w:ascii="仿宋_GB2312" w:eastAsia="仿宋_GB2312"/>
          <w:sz w:val="32"/>
          <w:szCs w:val="32"/>
        </w:rPr>
        <w:t>。一是农民合作社快速发展。</w:t>
      </w:r>
      <w:r>
        <w:rPr>
          <w:rFonts w:hint="default" w:ascii="Times New Roman" w:hAnsi="Times New Roman" w:eastAsia="仿宋_GB2312" w:cs="Times New Roman"/>
          <w:sz w:val="32"/>
          <w:szCs w:val="32"/>
          <w:lang w:val="en-US" w:eastAsia="zh-CN"/>
        </w:rPr>
        <w:t>自2007年《农民合作社法》颁布实施以来，越来越多的农民群众参与到合作社的发展中，合作社的数量、规模不断扩大，合作内容不断丰富，服务能力持续增强，推动了全区农业农村经济发展。截止目前，全区共登记注册合作社1</w:t>
      </w:r>
      <w:r>
        <w:rPr>
          <w:rFonts w:hint="eastAsia" w:ascii="Times New Roman" w:hAnsi="Times New Roman" w:eastAsia="仿宋_GB2312" w:cs="Times New Roman"/>
          <w:sz w:val="32"/>
          <w:szCs w:val="32"/>
          <w:lang w:val="en-US" w:eastAsia="zh-CN"/>
        </w:rPr>
        <w:t>111</w:t>
      </w:r>
      <w:r>
        <w:rPr>
          <w:rFonts w:hint="default" w:ascii="Times New Roman" w:hAnsi="Times New Roman" w:eastAsia="仿宋_GB2312" w:cs="Times New Roman"/>
          <w:sz w:val="32"/>
          <w:szCs w:val="32"/>
          <w:lang w:val="en-US" w:eastAsia="zh-CN"/>
        </w:rPr>
        <w:t>家，正常运行合作社9</w:t>
      </w:r>
      <w:r>
        <w:rPr>
          <w:rFonts w:hint="eastAsia" w:ascii="Times New Roman" w:hAnsi="Times New Roman" w:eastAsia="仿宋_GB2312" w:cs="Times New Roman"/>
          <w:sz w:val="32"/>
          <w:szCs w:val="32"/>
          <w:lang w:val="en-US" w:eastAsia="zh-CN"/>
        </w:rPr>
        <w:t>75</w:t>
      </w:r>
      <w:r>
        <w:rPr>
          <w:rFonts w:hint="default" w:ascii="Times New Roman" w:hAnsi="Times New Roman" w:eastAsia="仿宋_GB2312" w:cs="Times New Roman"/>
          <w:sz w:val="32"/>
          <w:szCs w:val="32"/>
          <w:lang w:val="en-US" w:eastAsia="zh-CN"/>
        </w:rPr>
        <w:t>家，通过“空壳社”清理整顿注销1</w:t>
      </w:r>
      <w:r>
        <w:rPr>
          <w:rFonts w:hint="eastAsia" w:ascii="Times New Roman" w:hAnsi="Times New Roman" w:eastAsia="仿宋_GB2312" w:cs="Times New Roman"/>
          <w:sz w:val="32"/>
          <w:szCs w:val="32"/>
          <w:lang w:val="en-US" w:eastAsia="zh-CN"/>
        </w:rPr>
        <w:t>36</w:t>
      </w:r>
      <w:r>
        <w:rPr>
          <w:rFonts w:hint="default" w:ascii="Times New Roman" w:hAnsi="Times New Roman" w:eastAsia="仿宋_GB2312" w:cs="Times New Roman"/>
          <w:sz w:val="32"/>
          <w:szCs w:val="32"/>
          <w:lang w:val="en-US" w:eastAsia="zh-CN"/>
        </w:rPr>
        <w:t>家；对比去年合作社数量增加110家，增幅11%。现有国家级示范社</w:t>
      </w:r>
      <w:r>
        <w:rPr>
          <w:rFonts w:hint="eastAsia" w:ascii="Times New Roman" w:hAnsi="Times New Roman" w:eastAsia="仿宋_GB2312" w:cs="Times New Roman"/>
          <w:sz w:val="32"/>
          <w:szCs w:val="32"/>
          <w:lang w:val="en-US" w:eastAsia="zh-CN"/>
        </w:rPr>
        <w:t>8</w:t>
      </w:r>
      <w:r>
        <w:rPr>
          <w:rFonts w:hint="default" w:ascii="Times New Roman" w:hAnsi="Times New Roman" w:eastAsia="仿宋_GB2312" w:cs="Times New Roman"/>
          <w:sz w:val="32"/>
          <w:szCs w:val="32"/>
          <w:lang w:val="en-US" w:eastAsia="zh-CN"/>
        </w:rPr>
        <w:t>家、省级示范社</w:t>
      </w:r>
      <w:r>
        <w:rPr>
          <w:rFonts w:hint="eastAsia" w:ascii="Times New Roman" w:hAnsi="Times New Roman" w:eastAsia="仿宋_GB2312" w:cs="Times New Roman"/>
          <w:sz w:val="32"/>
          <w:szCs w:val="32"/>
          <w:lang w:val="en-US" w:eastAsia="zh-CN"/>
        </w:rPr>
        <w:t>20</w:t>
      </w:r>
      <w:r>
        <w:rPr>
          <w:rFonts w:hint="default" w:ascii="Times New Roman" w:hAnsi="Times New Roman" w:eastAsia="仿宋_GB2312" w:cs="Times New Roman"/>
          <w:sz w:val="32"/>
          <w:szCs w:val="32"/>
          <w:lang w:val="en-US" w:eastAsia="zh-CN"/>
        </w:rPr>
        <w:t>家、市级示范社</w:t>
      </w:r>
      <w:r>
        <w:rPr>
          <w:rFonts w:hint="eastAsia" w:ascii="Times New Roman" w:hAnsi="Times New Roman" w:eastAsia="仿宋_GB2312" w:cs="Times New Roman"/>
          <w:sz w:val="32"/>
          <w:szCs w:val="32"/>
          <w:lang w:val="en-US" w:eastAsia="zh-CN"/>
        </w:rPr>
        <w:t>36</w:t>
      </w:r>
      <w:r>
        <w:rPr>
          <w:rFonts w:hint="default" w:ascii="Times New Roman" w:hAnsi="Times New Roman" w:eastAsia="仿宋_GB2312" w:cs="Times New Roman"/>
          <w:sz w:val="32"/>
          <w:szCs w:val="32"/>
          <w:lang w:val="en-US" w:eastAsia="zh-CN"/>
        </w:rPr>
        <w:t>家、区级示范社</w:t>
      </w:r>
      <w:r>
        <w:rPr>
          <w:rFonts w:hint="eastAsia" w:ascii="Times New Roman" w:hAnsi="Times New Roman" w:eastAsia="仿宋_GB2312" w:cs="Times New Roman"/>
          <w:sz w:val="32"/>
          <w:szCs w:val="32"/>
          <w:lang w:val="en-US" w:eastAsia="zh-CN"/>
        </w:rPr>
        <w:t>48</w:t>
      </w:r>
      <w:r>
        <w:rPr>
          <w:rFonts w:hint="default" w:ascii="Times New Roman" w:hAnsi="Times New Roman" w:eastAsia="仿宋_GB2312" w:cs="Times New Roman"/>
          <w:sz w:val="32"/>
          <w:szCs w:val="32"/>
          <w:lang w:val="en-US" w:eastAsia="zh-CN"/>
        </w:rPr>
        <w:t>家，合作社发展数量居全市第三，占全市农民合作社数量15%。合作社主要从事水稻、油茶、蔬菜、水果种植、家禽、牲畜、水产养殖以及加工、销售、服务等经营活动，产业涵盖了农林牧渔等各个领域，还涉及农机作业及农产品加工、销售、运输、贮藏等多个环节，全区合作社现从事种植业的520家、林业90家、畜牧业</w:t>
      </w:r>
      <w:r>
        <w:rPr>
          <w:rFonts w:hint="eastAsia" w:ascii="Times New Roman" w:hAnsi="Times New Roman" w:eastAsia="仿宋_GB2312" w:cs="Times New Roman"/>
          <w:sz w:val="32"/>
          <w:szCs w:val="32"/>
          <w:lang w:val="en-US" w:eastAsia="zh-CN"/>
        </w:rPr>
        <w:t>88</w:t>
      </w:r>
      <w:r>
        <w:rPr>
          <w:rFonts w:hint="default" w:ascii="Times New Roman" w:hAnsi="Times New Roman" w:eastAsia="仿宋_GB2312" w:cs="Times New Roman"/>
          <w:sz w:val="32"/>
          <w:szCs w:val="32"/>
          <w:lang w:val="en-US" w:eastAsia="zh-CN"/>
        </w:rPr>
        <w:t>家、渔业</w:t>
      </w:r>
      <w:r>
        <w:rPr>
          <w:rFonts w:hint="eastAsia" w:ascii="Times New Roman" w:hAnsi="Times New Roman" w:eastAsia="仿宋_GB2312" w:cs="Times New Roman"/>
          <w:sz w:val="32"/>
          <w:szCs w:val="32"/>
          <w:lang w:val="en-US" w:eastAsia="zh-CN"/>
        </w:rPr>
        <w:t>9</w:t>
      </w:r>
      <w:r>
        <w:rPr>
          <w:rFonts w:hint="default" w:ascii="Times New Roman" w:hAnsi="Times New Roman" w:eastAsia="仿宋_GB2312" w:cs="Times New Roman"/>
          <w:sz w:val="32"/>
          <w:szCs w:val="32"/>
          <w:lang w:val="en-US" w:eastAsia="zh-CN"/>
        </w:rPr>
        <w:t>2家、农机服务业1</w:t>
      </w:r>
      <w:r>
        <w:rPr>
          <w:rFonts w:hint="eastAsia" w:ascii="Times New Roman" w:hAnsi="Times New Roman" w:eastAsia="仿宋_GB2312" w:cs="Times New Roman"/>
          <w:sz w:val="32"/>
          <w:szCs w:val="32"/>
          <w:lang w:val="en-US" w:eastAsia="zh-CN"/>
        </w:rPr>
        <w:t>43</w:t>
      </w:r>
      <w:r>
        <w:rPr>
          <w:rFonts w:hint="default" w:ascii="Times New Roman" w:hAnsi="Times New Roman" w:eastAsia="仿宋_GB2312" w:cs="Times New Roman"/>
          <w:sz w:val="32"/>
          <w:szCs w:val="32"/>
          <w:lang w:val="en-US" w:eastAsia="zh-CN"/>
        </w:rPr>
        <w:t>家、其他42家。鼎城区有越来越多的合作社开始重视市场营销、质量标准、品牌包装、基地认证等，如鼎城区农盛水稻专业合作社、鼎城区鑫昊水稻专业合作社，除了为农户提供统一供苗、统一农资、统一培训、统一收购、统一销售服务之外，还积极注册了商标，并进行了无公害基地的认证。富硒大米、稻虾大米等专业合作社，申请了有机产品认证，合作社发展有了明显的提高，并建立“龙头企业+合作社+农户”模式，把一家一户分散经营转向适度规模经营，有效增加农民经济收入。截至202</w:t>
      </w: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val="en-US" w:eastAsia="zh-CN"/>
        </w:rPr>
        <w:t>年12月底，合作社入社成员户数7.3万户，带动农户数6.9万户，合作社雇请农民工10138人。全区合作社总收入达13.12亿元，实现盈余1.23亿元。</w:t>
      </w:r>
      <w:r>
        <w:rPr>
          <w:rFonts w:hint="default" w:ascii="Times New Roman" w:hAnsi="Times New Roman" w:eastAsia="仿宋_GB2312" w:cs="Times New Roman"/>
          <w:color w:val="auto"/>
          <w:sz w:val="32"/>
          <w:szCs w:val="32"/>
          <w:lang w:val="en-US" w:eastAsia="zh-CN"/>
        </w:rPr>
        <w:t>今年我们又起草了《鼎城区202</w:t>
      </w:r>
      <w:r>
        <w:rPr>
          <w:rFonts w:hint="eastAsia"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lang w:val="en-US" w:eastAsia="zh-CN"/>
        </w:rPr>
        <w:t>年适度规模经营补贴实施方案》，加大对农民专业合作社的财政扶持力度，支持农民专业合作社开展土地流转、产品质量认证、新品种新技术引进和产品贮藏销售等工作。对于评选为示范社的，在申报项目时，同等条件下优先考虑。同时，将培育发展农民专业合作社工作纳入各乡镇的年度工作考评的内容，加强专项督查，对工作突出的乡镇给予表彰奖励。</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eastAsia="仿宋_GB2312"/>
          <w:sz w:val="32"/>
          <w:szCs w:val="32"/>
          <w:lang w:val="en-US"/>
        </w:rPr>
      </w:pPr>
      <w:r>
        <w:rPr>
          <w:rFonts w:hint="eastAsia" w:ascii="仿宋_GB2312" w:eastAsia="仿宋_GB2312"/>
          <w:sz w:val="32"/>
          <w:szCs w:val="32"/>
        </w:rPr>
        <w:t>截止</w:t>
      </w:r>
      <w:r>
        <w:rPr>
          <w:rFonts w:hint="eastAsia" w:ascii="仿宋_GB2312" w:eastAsia="仿宋_GB2312"/>
          <w:sz w:val="32"/>
          <w:szCs w:val="32"/>
          <w:lang w:eastAsia="zh-CN"/>
        </w:rPr>
        <w:t>2021</w:t>
      </w:r>
      <w:r>
        <w:rPr>
          <w:rFonts w:hint="eastAsia" w:ascii="仿宋_GB2312" w:eastAsia="仿宋_GB2312"/>
          <w:sz w:val="32"/>
          <w:szCs w:val="32"/>
        </w:rPr>
        <w:t>年11月全区在市场监督管理部门注册登记的合作社有919家，其中创建国家级示范社5家（穗丰优质稻谷、长岭油茶、河洲龟鳖、华茂诚信蔬菜、仙人塘油茶）、省级示范社16家、市级示范社26家、区级示范社39家，同比</w:t>
      </w:r>
      <w:r>
        <w:rPr>
          <w:rFonts w:hint="eastAsia" w:ascii="仿宋_GB2312" w:hAnsi="仿宋" w:eastAsia="仿宋_GB2312" w:cs="仿宋"/>
          <w:sz w:val="32"/>
          <w:szCs w:val="32"/>
        </w:rPr>
        <w:t>增加90家。</w:t>
      </w:r>
      <w:r>
        <w:rPr>
          <w:rFonts w:hint="eastAsia" w:ascii="仿宋_GB2312" w:eastAsia="仿宋_GB2312"/>
          <w:sz w:val="32"/>
          <w:szCs w:val="32"/>
        </w:rPr>
        <w:t>其中从事种植业510家、林业93家、畜牧业75家、渔业78家、农机专业合作社131家、其他32家。拥有入社成员户数7.2万户，带动农户数6.8万户，合作社雇请农民工9256人，拥有注册商标的合作社21家，通过农产品质量认证的合作社14家。二是家庭农场方兴未艾。截至12月底，录入全国家庭农场名录系统的家庭农场有</w:t>
      </w:r>
      <w:r>
        <w:rPr>
          <w:rFonts w:hint="eastAsia" w:ascii="仿宋_GB2312" w:eastAsia="仿宋_GB2312"/>
          <w:sz w:val="32"/>
          <w:szCs w:val="32"/>
          <w:lang w:val="en-US" w:eastAsia="zh-CN"/>
        </w:rPr>
        <w:t>1098</w:t>
      </w:r>
      <w:r>
        <w:rPr>
          <w:rFonts w:hint="eastAsia" w:ascii="仿宋_GB2312" w:eastAsia="仿宋_GB2312"/>
          <w:sz w:val="32"/>
          <w:szCs w:val="32"/>
        </w:rPr>
        <w:t>家，</w:t>
      </w:r>
      <w:r>
        <w:rPr>
          <w:rFonts w:hint="eastAsia" w:ascii="仿宋_GB2312" w:eastAsia="仿宋_GB2312"/>
          <w:sz w:val="32"/>
          <w:szCs w:val="32"/>
          <w:lang w:val="en-US" w:eastAsia="zh-CN"/>
        </w:rPr>
        <w:t>其中工商注册230家。当年家庭农场发展总数</w:t>
      </w:r>
      <w:r>
        <w:rPr>
          <w:rFonts w:hint="eastAsia" w:ascii="仿宋_GB2312" w:eastAsia="仿宋_GB2312"/>
          <w:sz w:val="32"/>
          <w:szCs w:val="32"/>
        </w:rPr>
        <w:t>比上年增加1</w:t>
      </w:r>
      <w:r>
        <w:rPr>
          <w:rFonts w:hint="eastAsia" w:ascii="仿宋_GB2312" w:eastAsia="仿宋_GB2312"/>
          <w:sz w:val="32"/>
          <w:szCs w:val="32"/>
          <w:lang w:val="en-US" w:eastAsia="zh-CN"/>
        </w:rPr>
        <w:t>2</w:t>
      </w:r>
      <w:r>
        <w:rPr>
          <w:rFonts w:hint="eastAsia" w:ascii="仿宋_GB2312" w:eastAsia="仿宋_GB2312"/>
          <w:sz w:val="32"/>
          <w:szCs w:val="32"/>
        </w:rPr>
        <w:t>6家，增长率12.8%。</w:t>
      </w:r>
      <w:r>
        <w:rPr>
          <w:rFonts w:hint="eastAsia" w:ascii="仿宋_GB2312" w:eastAsia="仿宋_GB2312"/>
          <w:sz w:val="32"/>
          <w:szCs w:val="32"/>
          <w:lang w:val="en-US" w:eastAsia="zh-CN"/>
        </w:rPr>
        <w:t>按照经营行业统计，种植业785家、渔业205家、畜牧业50家、种养结合型48家、其他类型10家。</w:t>
      </w:r>
      <w:r>
        <w:rPr>
          <w:rFonts w:hint="eastAsia" w:ascii="仿宋_GB2312" w:eastAsia="仿宋_GB2312"/>
          <w:sz w:val="32"/>
          <w:szCs w:val="32"/>
        </w:rPr>
        <w:t>家庭农场</w:t>
      </w:r>
      <w:r>
        <w:rPr>
          <w:rFonts w:hint="eastAsia" w:ascii="仿宋_GB2312" w:eastAsia="仿宋_GB2312"/>
          <w:sz w:val="32"/>
          <w:szCs w:val="32"/>
          <w:lang w:val="en-US" w:eastAsia="zh-CN"/>
        </w:rPr>
        <w:t>现有</w:t>
      </w:r>
      <w:r>
        <w:rPr>
          <w:rFonts w:hint="eastAsia" w:ascii="仿宋_GB2312" w:eastAsia="仿宋_GB2312"/>
          <w:sz w:val="32"/>
          <w:szCs w:val="32"/>
        </w:rPr>
        <w:t>从业人员</w:t>
      </w:r>
      <w:r>
        <w:rPr>
          <w:rFonts w:hint="eastAsia" w:ascii="仿宋_GB2312" w:eastAsia="仿宋_GB2312"/>
          <w:sz w:val="32"/>
          <w:szCs w:val="32"/>
          <w:lang w:val="en-US" w:eastAsia="zh-CN"/>
        </w:rPr>
        <w:t>3850</w:t>
      </w:r>
      <w:r>
        <w:rPr>
          <w:rFonts w:hint="eastAsia" w:ascii="仿宋_GB2312" w:eastAsia="仿宋_GB2312"/>
          <w:sz w:val="32"/>
          <w:szCs w:val="32"/>
        </w:rPr>
        <w:t>人，常年雇</w:t>
      </w:r>
      <w:r>
        <w:rPr>
          <w:rFonts w:hint="eastAsia" w:ascii="仿宋_GB2312" w:eastAsia="仿宋_GB2312"/>
          <w:sz w:val="32"/>
          <w:szCs w:val="32"/>
          <w:lang w:val="en-US" w:eastAsia="zh-CN"/>
        </w:rPr>
        <w:t>用</w:t>
      </w:r>
      <w:r>
        <w:rPr>
          <w:rFonts w:hint="eastAsia" w:ascii="仿宋_GB2312" w:eastAsia="仿宋_GB2312"/>
          <w:sz w:val="32"/>
          <w:szCs w:val="32"/>
        </w:rPr>
        <w:t>劳动力1287人，流转</w:t>
      </w:r>
      <w:r>
        <w:rPr>
          <w:rFonts w:hint="eastAsia" w:ascii="仿宋_GB2312" w:eastAsia="仿宋_GB2312"/>
          <w:sz w:val="32"/>
          <w:szCs w:val="32"/>
          <w:lang w:val="en-US" w:eastAsia="zh-CN"/>
        </w:rPr>
        <w:t>农户承包地</w:t>
      </w:r>
      <w:r>
        <w:rPr>
          <w:rFonts w:hint="eastAsia" w:ascii="仿宋_GB2312" w:eastAsia="仿宋_GB2312"/>
          <w:sz w:val="32"/>
          <w:szCs w:val="32"/>
        </w:rPr>
        <w:t>面积1</w:t>
      </w:r>
      <w:r>
        <w:rPr>
          <w:rFonts w:hint="eastAsia" w:ascii="仿宋_GB2312" w:eastAsia="仿宋_GB2312"/>
          <w:sz w:val="32"/>
          <w:szCs w:val="32"/>
          <w:lang w:val="en-US" w:eastAsia="zh-CN"/>
        </w:rPr>
        <w:t>1</w:t>
      </w:r>
      <w:r>
        <w:rPr>
          <w:rFonts w:hint="eastAsia" w:ascii="仿宋_GB2312" w:eastAsia="仿宋_GB2312"/>
          <w:sz w:val="32"/>
          <w:szCs w:val="32"/>
        </w:rPr>
        <w:t>4979亩，年销售农产品总值24137万元，</w:t>
      </w:r>
      <w:r>
        <w:rPr>
          <w:rFonts w:hint="eastAsia" w:ascii="仿宋_GB2312" w:eastAsia="仿宋_GB2312"/>
          <w:sz w:val="32"/>
          <w:szCs w:val="32"/>
          <w:lang w:val="en-US" w:eastAsia="zh-CN"/>
        </w:rPr>
        <w:t>累计</w:t>
      </w:r>
      <w:r>
        <w:rPr>
          <w:rFonts w:hint="eastAsia" w:ascii="仿宋_GB2312" w:eastAsia="仿宋_GB2312"/>
          <w:sz w:val="32"/>
          <w:szCs w:val="32"/>
        </w:rPr>
        <w:t>购买农业生产投入品总值9491万元</w:t>
      </w:r>
      <w:r>
        <w:rPr>
          <w:rFonts w:hint="eastAsia" w:ascii="仿宋_GB2312" w:eastAsia="仿宋_GB2312"/>
          <w:sz w:val="32"/>
          <w:szCs w:val="32"/>
          <w:lang w:eastAsia="zh-CN"/>
        </w:rPr>
        <w:t>。</w:t>
      </w:r>
      <w:r>
        <w:rPr>
          <w:rFonts w:hint="eastAsia" w:ascii="仿宋" w:hAnsi="仿宋" w:eastAsia="仿宋" w:cs="仿宋"/>
          <w:kern w:val="0"/>
          <w:sz w:val="32"/>
          <w:szCs w:val="32"/>
        </w:rPr>
        <w:t>根据农业部《</w:t>
      </w:r>
      <w:r>
        <w:rPr>
          <w:rFonts w:hint="eastAsia" w:ascii="仿宋" w:hAnsi="仿宋" w:eastAsia="仿宋" w:cs="仿宋"/>
          <w:kern w:val="0"/>
          <w:sz w:val="32"/>
          <w:szCs w:val="32"/>
          <w:shd w:val="clear" w:color="auto" w:fill="FFFFFF"/>
        </w:rPr>
        <w:t>关于促进</w:t>
      </w:r>
      <w:r>
        <w:rPr>
          <w:rFonts w:hint="eastAsia" w:ascii="仿宋" w:hAnsi="仿宋" w:eastAsia="仿宋" w:cs="仿宋"/>
          <w:kern w:val="0"/>
          <w:sz w:val="32"/>
          <w:szCs w:val="32"/>
        </w:rPr>
        <w:t>家庭农场</w:t>
      </w:r>
      <w:r>
        <w:rPr>
          <w:rFonts w:hint="eastAsia" w:ascii="仿宋" w:hAnsi="仿宋" w:eastAsia="仿宋" w:cs="仿宋"/>
          <w:kern w:val="0"/>
          <w:sz w:val="32"/>
          <w:szCs w:val="32"/>
          <w:shd w:val="clear" w:color="auto" w:fill="FFFFFF"/>
        </w:rPr>
        <w:t>发展的指导意见》（农经发〔2014〕1号）和湖南省农业委《关于印发&lt;湖南省家庭农场认定管理办法（试行）的通知》（</w:t>
      </w:r>
      <w:r>
        <w:rPr>
          <w:rFonts w:hint="eastAsia" w:ascii="仿宋" w:hAnsi="仿宋" w:eastAsia="仿宋" w:cs="仿宋"/>
          <w:kern w:val="0"/>
          <w:sz w:val="32"/>
          <w:szCs w:val="32"/>
        </w:rPr>
        <w:t>湘农发【2016】294号）的</w:t>
      </w:r>
      <w:r>
        <w:rPr>
          <w:rFonts w:hint="eastAsia" w:ascii="仿宋" w:hAnsi="仿宋" w:eastAsia="仿宋" w:cs="仿宋"/>
          <w:kern w:val="0"/>
          <w:sz w:val="32"/>
          <w:szCs w:val="32"/>
          <w:shd w:val="clear" w:color="auto" w:fill="FFFFFF"/>
        </w:rPr>
        <w:t>要求，</w:t>
      </w:r>
      <w:r>
        <w:rPr>
          <w:rFonts w:hint="eastAsia" w:ascii="仿宋" w:hAnsi="仿宋" w:eastAsia="仿宋" w:cs="仿宋"/>
          <w:kern w:val="0"/>
          <w:sz w:val="32"/>
          <w:szCs w:val="32"/>
          <w:shd w:val="clear" w:color="auto" w:fill="FFFFFF"/>
          <w:lang w:val="en-US" w:eastAsia="zh-CN"/>
        </w:rPr>
        <w:t>鼎城区政府建立了农村经营主体发展联席会议制度，写入了政府工作报告；采取举办新型经营主体发展大会，年度河洲甲鱼美食节、新型经营主体农产品展销、融媒体电商平台等系列举措，</w:t>
      </w:r>
      <w:r>
        <w:rPr>
          <w:rFonts w:hint="eastAsia" w:ascii="仿宋" w:hAnsi="仿宋" w:eastAsia="仿宋" w:cs="仿宋"/>
          <w:kern w:val="0"/>
          <w:sz w:val="32"/>
          <w:szCs w:val="32"/>
        </w:rPr>
        <w:t>大力培育家庭农场等新型农业经营主体，发挥示范引带作用</w:t>
      </w:r>
      <w:r>
        <w:rPr>
          <w:rFonts w:hint="eastAsia" w:ascii="仿宋" w:hAnsi="仿宋" w:eastAsia="仿宋" w:cs="仿宋"/>
          <w:kern w:val="0"/>
          <w:sz w:val="32"/>
          <w:szCs w:val="32"/>
          <w:lang w:eastAsia="zh-CN"/>
        </w:rPr>
        <w:t>。</w:t>
      </w:r>
      <w:r>
        <w:rPr>
          <w:rFonts w:hint="eastAsia" w:ascii="仿宋" w:hAnsi="仿宋" w:eastAsia="仿宋" w:cs="仿宋"/>
          <w:kern w:val="0"/>
          <w:sz w:val="32"/>
          <w:szCs w:val="32"/>
          <w:lang w:val="en-US" w:eastAsia="zh-CN"/>
        </w:rPr>
        <w:t>为了</w:t>
      </w:r>
      <w:r>
        <w:rPr>
          <w:rFonts w:hint="eastAsia" w:ascii="仿宋" w:hAnsi="仿宋" w:eastAsia="仿宋" w:cs="仿宋"/>
          <w:kern w:val="0"/>
          <w:sz w:val="32"/>
          <w:szCs w:val="32"/>
        </w:rPr>
        <w:t>进一步推进和</w:t>
      </w:r>
      <w:r>
        <w:rPr>
          <w:rFonts w:hint="eastAsia" w:ascii="仿宋" w:hAnsi="仿宋" w:eastAsia="仿宋" w:cs="仿宋"/>
          <w:kern w:val="0"/>
          <w:sz w:val="32"/>
          <w:szCs w:val="32"/>
          <w:shd w:val="clear" w:color="auto" w:fill="FFFFFF"/>
        </w:rPr>
        <w:t>规范我区家庭农场</w:t>
      </w:r>
      <w:r>
        <w:rPr>
          <w:rFonts w:hint="eastAsia" w:ascii="仿宋" w:hAnsi="仿宋" w:eastAsia="仿宋" w:cs="仿宋"/>
          <w:kern w:val="0"/>
          <w:sz w:val="32"/>
          <w:szCs w:val="32"/>
        </w:rPr>
        <w:t>名录管理</w:t>
      </w:r>
      <w:r>
        <w:rPr>
          <w:rFonts w:hint="eastAsia" w:ascii="仿宋" w:hAnsi="仿宋" w:eastAsia="仿宋" w:cs="仿宋"/>
          <w:kern w:val="0"/>
          <w:sz w:val="32"/>
          <w:szCs w:val="32"/>
          <w:shd w:val="clear" w:color="auto" w:fill="FFFFFF"/>
        </w:rPr>
        <w:t>工作，</w:t>
      </w:r>
      <w:r>
        <w:rPr>
          <w:rFonts w:hint="eastAsia" w:ascii="仿宋" w:hAnsi="仿宋" w:eastAsia="仿宋" w:cs="仿宋"/>
          <w:sz w:val="32"/>
          <w:szCs w:val="32"/>
          <w:lang w:val="en-US" w:eastAsia="zh-CN"/>
        </w:rPr>
        <w:t>出台并下发了《鼎城区家庭农场名录管理办法》。开展了家庭农场主业务培训和分类定级、示范创建授牌、品牌认证扶持，家庭农场发展年递增率达10%以上。</w:t>
      </w:r>
      <w:r>
        <w:rPr>
          <w:rFonts w:hint="eastAsia" w:ascii="仿宋_GB2312" w:hAnsi="仿宋_GB2312" w:eastAsia="仿宋_GB2312" w:cs="仿宋_GB2312"/>
          <w:color w:val="000000"/>
          <w:sz w:val="31"/>
          <w:szCs w:val="31"/>
          <w:shd w:val="clear" w:color="auto" w:fill="FFFFFF"/>
        </w:rPr>
        <w:t>制定《鼎城区</w:t>
      </w:r>
      <w:r>
        <w:rPr>
          <w:rFonts w:hint="eastAsia" w:ascii="仿宋_GB2312" w:hAnsi="仿宋_GB2312" w:eastAsia="仿宋_GB2312" w:cs="仿宋_GB2312"/>
          <w:color w:val="000000"/>
          <w:sz w:val="31"/>
          <w:szCs w:val="31"/>
          <w:shd w:val="clear" w:color="auto" w:fill="FFFFFF"/>
          <w:lang w:val="en-US" w:eastAsia="zh-CN"/>
        </w:rPr>
        <w:t>示范农民专业合作社和</w:t>
      </w:r>
      <w:r>
        <w:rPr>
          <w:rFonts w:hint="eastAsia" w:ascii="仿宋_GB2312" w:hAnsi="仿宋_GB2312" w:eastAsia="仿宋_GB2312" w:cs="仿宋_GB2312"/>
          <w:color w:val="000000"/>
          <w:sz w:val="31"/>
          <w:szCs w:val="31"/>
          <w:shd w:val="clear" w:color="auto" w:fill="FFFFFF"/>
        </w:rPr>
        <w:t>示范家庭农场评选办法》，按照“自愿申报、择优推荐、逐级审核、动态管理”的原则，健全工作机制，开展省、市、区三级示范家庭农场创建</w:t>
      </w:r>
      <w:r>
        <w:rPr>
          <w:rFonts w:hint="eastAsia" w:ascii="仿宋_GB2312" w:eastAsia="仿宋_GB2312"/>
          <w:sz w:val="32"/>
          <w:szCs w:val="32"/>
        </w:rPr>
        <w:t>工作。</w:t>
      </w:r>
      <w:r>
        <w:rPr>
          <w:rFonts w:hint="eastAsia" w:ascii="仿宋_GB2312" w:eastAsia="仿宋_GB2312"/>
          <w:sz w:val="32"/>
          <w:szCs w:val="32"/>
          <w:lang w:val="en-US" w:eastAsia="zh-CN"/>
        </w:rPr>
        <w:t>2021</w:t>
      </w:r>
      <w:r>
        <w:rPr>
          <w:rFonts w:hint="eastAsia" w:ascii="仿宋_GB2312" w:eastAsia="仿宋_GB2312"/>
          <w:sz w:val="32"/>
          <w:szCs w:val="32"/>
        </w:rPr>
        <w:t>年我区</w:t>
      </w:r>
      <w:r>
        <w:rPr>
          <w:rFonts w:hint="eastAsia" w:ascii="仿宋_GB2312" w:eastAsia="仿宋_GB2312"/>
          <w:sz w:val="32"/>
          <w:szCs w:val="32"/>
          <w:lang w:val="en-US" w:eastAsia="zh-CN"/>
        </w:rPr>
        <w:t>2</w:t>
      </w:r>
      <w:r>
        <w:rPr>
          <w:rFonts w:hint="eastAsia" w:ascii="仿宋_GB2312" w:eastAsia="仿宋_GB2312"/>
          <w:sz w:val="32"/>
          <w:szCs w:val="32"/>
        </w:rPr>
        <w:t>0家家庭农场</w:t>
      </w:r>
      <w:r>
        <w:rPr>
          <w:rFonts w:hint="eastAsia" w:ascii="仿宋_GB2312" w:eastAsia="仿宋_GB2312"/>
          <w:sz w:val="32"/>
          <w:szCs w:val="32"/>
          <w:lang w:val="en-US" w:eastAsia="zh-CN"/>
        </w:rPr>
        <w:t>评选</w:t>
      </w:r>
      <w:r>
        <w:rPr>
          <w:rFonts w:hint="eastAsia" w:ascii="仿宋_GB2312" w:eastAsia="仿宋_GB2312"/>
          <w:sz w:val="32"/>
          <w:szCs w:val="32"/>
        </w:rPr>
        <w:t>为</w:t>
      </w:r>
      <w:r>
        <w:rPr>
          <w:rFonts w:hint="eastAsia" w:ascii="仿宋_GB2312" w:hAnsi="仿宋_GB2312" w:eastAsia="仿宋_GB2312" w:cs="仿宋_GB2312"/>
          <w:color w:val="000000"/>
          <w:sz w:val="31"/>
          <w:szCs w:val="31"/>
          <w:shd w:val="clear" w:color="auto" w:fill="FFFFFF"/>
        </w:rPr>
        <w:t>区级</w:t>
      </w:r>
      <w:r>
        <w:rPr>
          <w:rFonts w:hint="eastAsia" w:ascii="仿宋_GB2312" w:hAnsi="仿宋_GB2312" w:eastAsia="仿宋_GB2312" w:cs="仿宋_GB2312"/>
          <w:color w:val="000000"/>
          <w:sz w:val="31"/>
          <w:szCs w:val="31"/>
          <w:shd w:val="clear" w:color="auto" w:fill="FFFFFF"/>
          <w:lang w:val="en-US" w:eastAsia="zh-CN"/>
        </w:rPr>
        <w:t>示范</w:t>
      </w:r>
      <w:r>
        <w:rPr>
          <w:rFonts w:hint="eastAsia" w:ascii="仿宋_GB2312" w:hAnsi="仿宋_GB2312" w:eastAsia="仿宋_GB2312" w:cs="仿宋_GB2312"/>
          <w:color w:val="000000"/>
          <w:sz w:val="31"/>
          <w:szCs w:val="31"/>
          <w:shd w:val="clear" w:color="auto" w:fill="FFFFFF"/>
        </w:rPr>
        <w:t>家庭农场</w:t>
      </w:r>
      <w:r>
        <w:rPr>
          <w:rFonts w:hint="eastAsia" w:ascii="仿宋_GB2312" w:hAnsi="仿宋_GB2312" w:eastAsia="仿宋_GB2312" w:cs="仿宋_GB2312"/>
          <w:color w:val="000000"/>
          <w:sz w:val="31"/>
          <w:szCs w:val="31"/>
          <w:shd w:val="clear" w:color="auto" w:fill="FFFFFF"/>
          <w:lang w:eastAsia="zh-CN"/>
        </w:rPr>
        <w:t>、</w:t>
      </w:r>
      <w:r>
        <w:rPr>
          <w:rFonts w:hint="eastAsia" w:ascii="仿宋_GB2312" w:eastAsia="仿宋_GB2312"/>
          <w:sz w:val="32"/>
          <w:szCs w:val="32"/>
        </w:rPr>
        <w:t>1</w:t>
      </w:r>
      <w:r>
        <w:rPr>
          <w:rFonts w:hint="eastAsia" w:ascii="仿宋_GB2312" w:eastAsia="仿宋_GB2312"/>
          <w:sz w:val="32"/>
          <w:szCs w:val="32"/>
          <w:lang w:val="en-US" w:eastAsia="zh-CN"/>
        </w:rPr>
        <w:t>8</w:t>
      </w:r>
      <w:r>
        <w:rPr>
          <w:rFonts w:hint="eastAsia" w:ascii="仿宋_GB2312" w:eastAsia="仿宋_GB2312"/>
          <w:sz w:val="32"/>
          <w:szCs w:val="32"/>
        </w:rPr>
        <w:t>家家庭农场被评为市级</w:t>
      </w:r>
      <w:r>
        <w:rPr>
          <w:rFonts w:hint="eastAsia" w:ascii="仿宋_GB2312" w:eastAsia="仿宋_GB2312"/>
          <w:sz w:val="32"/>
          <w:szCs w:val="32"/>
          <w:lang w:val="en-US" w:eastAsia="zh-CN"/>
        </w:rPr>
        <w:t>示范</w:t>
      </w:r>
      <w:r>
        <w:rPr>
          <w:rFonts w:hint="eastAsia" w:ascii="仿宋_GB2312" w:eastAsia="仿宋_GB2312"/>
          <w:sz w:val="32"/>
          <w:szCs w:val="32"/>
        </w:rPr>
        <w:t>家庭农场</w:t>
      </w:r>
      <w:r>
        <w:rPr>
          <w:rFonts w:hint="eastAsia" w:ascii="仿宋_GB2312" w:eastAsia="仿宋_GB2312"/>
          <w:sz w:val="32"/>
          <w:szCs w:val="32"/>
          <w:lang w:eastAsia="zh-CN"/>
        </w:rPr>
        <w:t>、</w:t>
      </w:r>
      <w:r>
        <w:rPr>
          <w:rFonts w:hint="eastAsia" w:ascii="仿宋_GB2312" w:eastAsia="仿宋_GB2312"/>
          <w:sz w:val="32"/>
          <w:szCs w:val="32"/>
          <w:lang w:val="en-US" w:eastAsia="zh-CN"/>
        </w:rPr>
        <w:t>7家家庭农场被评为省级示范家庭农场。2021年11月，鼎城区借助“省级示范家庭农场创建县”的契机，积极探索抱团发展模式，在全省率先</w:t>
      </w:r>
      <w:r>
        <w:rPr>
          <w:rFonts w:hint="eastAsia" w:ascii="仿宋_GB2312" w:eastAsia="仿宋_GB2312"/>
          <w:sz w:val="32"/>
          <w:szCs w:val="32"/>
        </w:rPr>
        <w:t>成立家庭农场联盟</w:t>
      </w:r>
      <w:r>
        <w:rPr>
          <w:rFonts w:hint="eastAsia" w:ascii="仿宋_GB2312" w:eastAsia="仿宋_GB2312"/>
          <w:sz w:val="32"/>
          <w:szCs w:val="32"/>
          <w:lang w:eastAsia="zh-CN"/>
        </w:rPr>
        <w:t>。</w:t>
      </w:r>
      <w:r>
        <w:rPr>
          <w:rFonts w:hint="eastAsia" w:ascii="仿宋_GB2312" w:eastAsia="仿宋_GB2312"/>
          <w:sz w:val="32"/>
          <w:szCs w:val="32"/>
          <w:lang w:val="en-US" w:eastAsia="zh-CN"/>
        </w:rPr>
        <w:t>2021年9月，家庭农场联盟又在市城区龙港路德景园开设首家“良田有菜”实体门店。依托尧天坪镇“</w:t>
      </w:r>
      <w:r>
        <w:rPr>
          <w:rFonts w:hint="eastAsia" w:ascii="仿宋_GB2312" w:eastAsia="仿宋_GB2312"/>
          <w:sz w:val="32"/>
          <w:szCs w:val="32"/>
        </w:rPr>
        <w:t>常德市小蜜蜂家庭农场</w:t>
      </w:r>
      <w:r>
        <w:rPr>
          <w:rFonts w:hint="eastAsia" w:ascii="仿宋_GB2312" w:eastAsia="仿宋_GB2312"/>
          <w:sz w:val="32"/>
          <w:szCs w:val="32"/>
          <w:lang w:eastAsia="zh-CN"/>
        </w:rPr>
        <w:t>”</w:t>
      </w:r>
      <w:r>
        <w:rPr>
          <w:rFonts w:hint="eastAsia" w:ascii="仿宋_GB2312" w:eastAsia="仿宋_GB2312"/>
          <w:sz w:val="32"/>
          <w:szCs w:val="32"/>
        </w:rPr>
        <w:t>，</w:t>
      </w:r>
      <w:r>
        <w:rPr>
          <w:rFonts w:hint="eastAsia" w:ascii="仿宋_GB2312" w:eastAsia="仿宋_GB2312"/>
          <w:sz w:val="32"/>
          <w:szCs w:val="32"/>
          <w:lang w:val="en-US" w:eastAsia="zh-CN"/>
        </w:rPr>
        <w:t>发挥大学生引领新型经营主体发展优势，带动周边8家家庭农场，组建家庭农场联盟，统一生产标准，倡导绿色理念，建立会员制、配送制销售模式，提升农产品品质和经济效益，促进家庭农场做大做强。</w:t>
      </w:r>
    </w:p>
    <w:p>
      <w:pPr>
        <w:ind w:firstLine="640" w:firstLineChars="200"/>
        <w:jc w:val="left"/>
        <w:rPr>
          <w:rFonts w:hint="eastAsia" w:ascii="仿宋_GB2312" w:eastAsia="仿宋_GB2312"/>
          <w:sz w:val="32"/>
          <w:szCs w:val="32"/>
        </w:rPr>
      </w:pPr>
      <w:r>
        <w:rPr>
          <w:rFonts w:hint="eastAsia" w:ascii="仿宋_GB2312" w:eastAsia="仿宋_GB2312"/>
          <w:sz w:val="32"/>
          <w:szCs w:val="32"/>
        </w:rPr>
        <w:t>全区经过工商注册的种植、养殖类家庭农场共有1017家。其中经农业部门认定获省百千万工程财政补助的种粮家庭农场267家。新型经营主体的发展提高了农民收入，助力乡村振兴。</w:t>
      </w:r>
    </w:p>
    <w:p>
      <w:pPr>
        <w:ind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2021年，我区农民专业合作社达1069家，家庭农场达1097 家，争取了</w:t>
      </w:r>
      <w:r>
        <w:rPr>
          <w:rFonts w:hint="default" w:ascii="Times New Roman" w:hAnsi="Times New Roman" w:eastAsia="仿宋" w:cs="Times New Roman"/>
          <w:sz w:val="32"/>
          <w:szCs w:val="32"/>
        </w:rPr>
        <w:t>国家级、省级</w:t>
      </w:r>
      <w:r>
        <w:rPr>
          <w:rFonts w:hint="default" w:ascii="Times New Roman" w:hAnsi="Times New Roman" w:eastAsia="仿宋_GB2312" w:cs="Times New Roman"/>
          <w:sz w:val="32"/>
          <w:szCs w:val="32"/>
        </w:rPr>
        <w:t>示范社创建。按照中央、省、市要求，要加大项目资源整合力度，将国家有关农村土地开发管理、农业基本建设、农业产业化、农业标准化等涉农项目有选择性向新型农业经营主体倾斜，扶持引导其做大做强。2021年预算农业适度规模经营补贴1</w:t>
      </w:r>
      <w:r>
        <w:rPr>
          <w:rFonts w:hint="eastAsia" w:ascii="Times New Roman" w:hAnsi="Times New Roman" w:eastAsia="仿宋_GB2312" w:cs="Times New Roman"/>
          <w:sz w:val="32"/>
          <w:szCs w:val="32"/>
          <w:lang w:val="en-US" w:eastAsia="zh-CN"/>
        </w:rPr>
        <w:t>60</w:t>
      </w:r>
      <w:r>
        <w:rPr>
          <w:rFonts w:hint="default" w:ascii="Times New Roman" w:hAnsi="Times New Roman" w:eastAsia="仿宋_GB2312" w:cs="Times New Roman"/>
          <w:sz w:val="32"/>
          <w:szCs w:val="32"/>
        </w:rPr>
        <w:t>万元。</w:t>
      </w:r>
    </w:p>
    <w:p>
      <w:pPr>
        <w:ind w:firstLine="640" w:firstLineChars="200"/>
        <w:rPr>
          <w:rFonts w:hint="eastAsia" w:ascii="仿宋_GB2312" w:eastAsia="仿宋_GB2312"/>
          <w:sz w:val="32"/>
          <w:szCs w:val="32"/>
        </w:rPr>
      </w:pPr>
    </w:p>
    <w:p>
      <w:pPr>
        <w:numPr>
          <w:ilvl w:val="0"/>
          <w:numId w:val="2"/>
        </w:numPr>
        <w:ind w:firstLine="643" w:firstLineChars="200"/>
        <w:rPr>
          <w:rFonts w:hint="default" w:ascii="Times New Roman" w:hAnsi="Times New Roman" w:eastAsia="仿宋_GB2312" w:cs="Times New Roman"/>
          <w:sz w:val="32"/>
          <w:szCs w:val="32"/>
        </w:rPr>
      </w:pPr>
      <w:r>
        <w:rPr>
          <w:rFonts w:hint="eastAsia" w:ascii="仿宋_GB2312" w:eastAsia="仿宋_GB2312"/>
          <w:b/>
          <w:bCs/>
          <w:sz w:val="32"/>
          <w:szCs w:val="32"/>
        </w:rPr>
        <w:t>农村两项改革效果显现</w:t>
      </w:r>
      <w:r>
        <w:rPr>
          <w:rFonts w:hint="eastAsia" w:ascii="仿宋_GB2312" w:eastAsia="仿宋_GB2312"/>
          <w:sz w:val="32"/>
          <w:szCs w:val="32"/>
        </w:rPr>
        <w:t>。一是</w:t>
      </w:r>
      <w:r>
        <w:rPr>
          <w:rFonts w:hint="default" w:ascii="Times New Roman" w:hAnsi="Times New Roman" w:eastAsia="仿宋_GB2312" w:cs="Times New Roman"/>
          <w:sz w:val="32"/>
          <w:szCs w:val="32"/>
        </w:rPr>
        <w:t>继续开展农村集体产权制度改革后续完善。部署了农村集体经济组织换届工作。全区农村集体经济组织换届工作全部结束，共选举产生293个新的理事会、监事会和成员代表</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完善了产改档案工作。除红云街道外，其他乡镇街道场均集中保管乡村产改档案。待区档案馆开馆，可全部移送入馆。进行了集体经济组织财务独立核算试点。等省里为村经济合作社设立账套后，可立即开展报账和核算。开展了农村集体经济发展专题调研。和区委办联合开展了农村集体经济发展专题调研，在学习外县成功经验的同时，还深入韩公渡镇、牛鼻滩镇了解本地村级集体经济发展实践做法。与农业银行合作，建立三资管理服务平台，在蒿子港、石公桥、灌溪率先启动。</w:t>
      </w:r>
      <w:r>
        <w:rPr>
          <w:rFonts w:hint="eastAsia" w:ascii="仿宋_GB2312" w:eastAsia="仿宋_GB2312"/>
          <w:sz w:val="32"/>
          <w:szCs w:val="32"/>
          <w:lang w:val="en-US" w:eastAsia="zh-CN"/>
        </w:rPr>
        <w:t>在石板滩镇常水社区开展第二轮土地承包到期后再延长30年国家级试点工作，该项工作获得省、市首肯，为第二轮土地承包到期后再延长30年奠定了工作基础，</w:t>
      </w:r>
      <w:r>
        <w:rPr>
          <w:rFonts w:hint="eastAsia" w:ascii="仿宋_GB2312" w:eastAsia="仿宋_GB2312"/>
          <w:sz w:val="32"/>
          <w:szCs w:val="32"/>
        </w:rPr>
        <w:t>有利于现代农业农村健康发展。</w:t>
      </w:r>
      <w:r>
        <w:rPr>
          <w:rFonts w:hint="eastAsia" w:ascii="仿宋_GB2312" w:eastAsia="仿宋_GB2312"/>
          <w:sz w:val="32"/>
          <w:szCs w:val="32"/>
          <w:lang w:val="en-US" w:eastAsia="zh-CN"/>
        </w:rPr>
        <w:t>二是切实加强农村土地承包管理。</w:t>
      </w:r>
      <w:r>
        <w:rPr>
          <w:rFonts w:hint="default" w:ascii="Times New Roman" w:hAnsi="Times New Roman" w:eastAsia="仿宋_GB2312" w:cs="Times New Roman"/>
          <w:sz w:val="32"/>
          <w:szCs w:val="32"/>
        </w:rPr>
        <w:t xml:space="preserve">2021年，鼎城区被确定为二轮延包到期后再延长30年国家级试点县（区），已完成阵地建设，组建15人工作队，完成了入户摸底和基础性工作，出台鼎城区土地延包重大问题处置办法全市现场会及培训班在常水召开；农村土地承包已完成216纠纷调解，其中1起仲裁开庭（郭家铺孔家溶社区土地纠纷），裁决书已送达当事人，全市各区县仲裁办来鼎城进行了现场观摩学习。 切实加强农村土地流转规范管理。组织了全区村会计培训班，对土地流转规范管理进行了业务培训，目前全区土地流转率已达到71.5%。 </w:t>
      </w:r>
    </w:p>
    <w:p>
      <w:pPr>
        <w:numPr>
          <w:ilvl w:val="0"/>
          <w:numId w:val="2"/>
        </w:numPr>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农村宅基地审批和村民建房</w:t>
      </w:r>
      <w:r>
        <w:rPr>
          <w:rFonts w:hint="eastAsia" w:ascii="Times New Roman" w:hAnsi="Times New Roman" w:eastAsia="黑体" w:cs="Times New Roman"/>
          <w:sz w:val="32"/>
          <w:szCs w:val="32"/>
          <w:lang w:val="en-US" w:eastAsia="zh-CN"/>
        </w:rPr>
        <w:t>规范</w:t>
      </w:r>
      <w:r>
        <w:rPr>
          <w:rFonts w:hint="default" w:ascii="Times New Roman" w:hAnsi="Times New Roman" w:eastAsia="黑体" w:cs="Times New Roman"/>
          <w:sz w:val="32"/>
          <w:szCs w:val="32"/>
        </w:rPr>
        <w:t>管理</w:t>
      </w:r>
      <w:r>
        <w:rPr>
          <w:rFonts w:hint="eastAsia" w:ascii="仿宋_GB2312" w:eastAsia="仿宋_GB2312"/>
          <w:sz w:val="32"/>
          <w:szCs w:val="32"/>
        </w:rPr>
        <w:t>。</w:t>
      </w:r>
      <w:r>
        <w:rPr>
          <w:rFonts w:hint="default" w:ascii="Times New Roman" w:hAnsi="Times New Roman" w:eastAsia="仿宋_GB2312" w:cs="Times New Roman"/>
          <w:sz w:val="32"/>
          <w:szCs w:val="32"/>
        </w:rPr>
        <w:t>认真宣传《土地管理法》，落实中央改革精神，指导乡镇经管部门牵头开展村民建房联审联办，建立健全区、乡、村三级网络管理体系，开展违法占用耕地建房专项整治行动。在全区村会计培训班上进行了业务培训，18万份《致农民的一封信》已经下发到村民手中，为每村统一制作了“八不准”宣传牌并安装到位，日常巡查做到每月开展一次，共查处涉嫌违规建房图斑128 起。</w:t>
      </w:r>
    </w:p>
    <w:p>
      <w:pPr>
        <w:numPr>
          <w:ilvl w:val="0"/>
          <w:numId w:val="0"/>
        </w:numPr>
        <w:ind w:leftChars="200" w:firstLine="320" w:firstLineChars="100"/>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四、农村集体资产专项清理</w:t>
      </w:r>
      <w:r>
        <w:rPr>
          <w:rFonts w:hint="eastAsia" w:ascii="Times New Roman" w:hAnsi="Times New Roman" w:eastAsia="黑体" w:cs="Times New Roman"/>
          <w:sz w:val="32"/>
          <w:szCs w:val="32"/>
          <w:lang w:val="en-US" w:eastAsia="zh-CN"/>
        </w:rPr>
        <w:t>大力</w:t>
      </w:r>
      <w:r>
        <w:rPr>
          <w:rFonts w:hint="default" w:ascii="Times New Roman" w:hAnsi="Times New Roman" w:eastAsia="黑体" w:cs="Times New Roman"/>
          <w:sz w:val="32"/>
          <w:szCs w:val="32"/>
        </w:rPr>
        <w:t>整治。</w:t>
      </w:r>
      <w:r>
        <w:rPr>
          <w:rFonts w:hint="default" w:ascii="Times New Roman" w:hAnsi="Times New Roman" w:eastAsia="仿宋_GB2312" w:cs="Times New Roman"/>
          <w:sz w:val="32"/>
          <w:szCs w:val="32"/>
        </w:rPr>
        <w:t>通过乡村自查和区委巡察，全区共核实农村集体资产管理问题454起，涉及22个乡镇街道场。目前，已整改销号435起，增加集体</w:t>
      </w:r>
      <w:r>
        <w:rPr>
          <w:rFonts w:hint="eastAsia" w:ascii="Times New Roman" w:hAnsi="Times New Roman" w:eastAsia="仿宋_GB2312" w:cs="Times New Roman"/>
          <w:sz w:val="32"/>
          <w:szCs w:val="32"/>
          <w:lang w:val="en-US" w:eastAsia="zh-CN"/>
        </w:rPr>
        <w:t>组织</w:t>
      </w:r>
      <w:r>
        <w:rPr>
          <w:rFonts w:hint="default" w:ascii="Times New Roman" w:hAnsi="Times New Roman" w:eastAsia="仿宋_GB2312" w:cs="Times New Roman"/>
          <w:sz w:val="32"/>
          <w:szCs w:val="32"/>
        </w:rPr>
        <w:t>经济收</w:t>
      </w:r>
      <w:r>
        <w:rPr>
          <w:rFonts w:hint="eastAsia" w:ascii="Times New Roman" w:hAnsi="Times New Roman" w:eastAsia="仿宋_GB2312" w:cs="Times New Roman"/>
          <w:sz w:val="32"/>
          <w:szCs w:val="32"/>
          <w:lang w:val="en-US" w:eastAsia="zh-CN"/>
        </w:rPr>
        <w:t>入</w:t>
      </w:r>
      <w:r>
        <w:rPr>
          <w:rFonts w:hint="default" w:ascii="Times New Roman" w:hAnsi="Times New Roman" w:eastAsia="仿宋_GB2312" w:cs="Times New Roman"/>
          <w:sz w:val="32"/>
          <w:szCs w:val="32"/>
        </w:rPr>
        <w:t>600余万元，将所有承包合同期限缩短到</w:t>
      </w:r>
      <w:r>
        <w:rPr>
          <w:rFonts w:hint="default" w:ascii="Times New Roman" w:hAnsi="Times New Roman" w:eastAsia="黑体" w:cs="Times New Roman"/>
          <w:sz w:val="32"/>
          <w:szCs w:val="32"/>
        </w:rPr>
        <w:t>2025</w:t>
      </w:r>
      <w:r>
        <w:rPr>
          <w:rFonts w:hint="default" w:ascii="Times New Roman" w:hAnsi="Times New Roman" w:eastAsia="仿宋_GB2312" w:cs="Times New Roman"/>
          <w:sz w:val="32"/>
          <w:szCs w:val="32"/>
        </w:rPr>
        <w:t>年12月31日前。</w:t>
      </w:r>
    </w:p>
    <w:p>
      <w:pPr>
        <w:ind w:firstLine="420" w:firstLineChars="200"/>
        <w:rPr>
          <w:rFonts w:hint="default" w:ascii="Times New Roman" w:hAnsi="Times New Roman" w:cs="Times New Roman"/>
        </w:rPr>
      </w:pPr>
    </w:p>
    <w:p>
      <w:pPr>
        <w:spacing w:line="600" w:lineRule="exact"/>
        <w:ind w:firstLine="640" w:firstLineChars="200"/>
        <w:rPr>
          <w:rFonts w:hint="eastAsia" w:ascii="仿宋_GB2312" w:eastAsia="仿宋_GB2312"/>
          <w:b/>
          <w:bCs/>
          <w:sz w:val="32"/>
          <w:szCs w:val="32"/>
        </w:rPr>
      </w:pPr>
      <w:r>
        <w:rPr>
          <w:rFonts w:hint="eastAsia" w:ascii="仿宋_GB2312" w:eastAsia="仿宋_GB2312"/>
          <w:sz w:val="32"/>
          <w:szCs w:val="32"/>
        </w:rPr>
        <w:t xml:space="preserve"> </w:t>
      </w:r>
      <w:r>
        <w:rPr>
          <w:rFonts w:hint="eastAsia" w:ascii="仿宋_GB2312" w:eastAsia="仿宋_GB2312"/>
          <w:b/>
          <w:bCs/>
          <w:sz w:val="32"/>
          <w:szCs w:val="32"/>
        </w:rPr>
        <w:t xml:space="preserve">七、存在的主要问题 </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通过对整体支出情况的分析，202</w:t>
      </w:r>
      <w:r>
        <w:rPr>
          <w:rFonts w:hint="eastAsia" w:ascii="仿宋_GB2312" w:eastAsia="仿宋_GB2312"/>
          <w:sz w:val="32"/>
          <w:szCs w:val="32"/>
          <w:lang w:val="en-US" w:eastAsia="zh-CN"/>
        </w:rPr>
        <w:t>1</w:t>
      </w:r>
      <w:r>
        <w:rPr>
          <w:rFonts w:hint="eastAsia" w:ascii="仿宋_GB2312" w:eastAsia="仿宋_GB2312"/>
          <w:sz w:val="32"/>
          <w:szCs w:val="32"/>
        </w:rPr>
        <w:t>年我</w:t>
      </w:r>
      <w:r>
        <w:rPr>
          <w:rFonts w:hint="eastAsia" w:ascii="仿宋_GB2312" w:eastAsia="仿宋_GB2312"/>
          <w:sz w:val="32"/>
          <w:szCs w:val="32"/>
          <w:lang w:val="en-US" w:eastAsia="zh-CN"/>
        </w:rPr>
        <w:t>单位</w:t>
      </w:r>
      <w:r>
        <w:rPr>
          <w:rFonts w:hint="eastAsia" w:ascii="仿宋_GB2312" w:eastAsia="仿宋_GB2312"/>
          <w:sz w:val="32"/>
          <w:szCs w:val="32"/>
        </w:rPr>
        <w:t>整体支出虽然基本保证了单位的正常运行和职能履行，但在预算编制、执行和管理过程中仍存在一些困难和问题：</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1、绩效目标的设定不够科学精细，指向不够明确,定性多，量化少，内容不全面，主管部门未作硬性要求,使绩效目标未受到重视。</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2、预算编制不严谨，合理性有待进一步提高，软约束，未发挥预算控制的作用，未将预算落到实处。年初预算指标不能满足省市要求的新工作任务，导致年中追加预算困难大，预算资金下拨迟缓，导致年末集中拨付资金，不利于工作的顺利开展。</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3、整体支出绩效意识有待提高，尚未形成预算绩效管理机制，未安排专人进行预算绩效管理，相关管理制度有待进一步完善和落实；</w:t>
      </w:r>
    </w:p>
    <w:p>
      <w:pPr>
        <w:spacing w:line="600" w:lineRule="exact"/>
        <w:ind w:firstLine="640" w:firstLineChars="200"/>
        <w:rPr>
          <w:rFonts w:hint="eastAsia" w:ascii="仿宋_GB2312" w:eastAsia="仿宋_GB2312" w:cs="Calibri"/>
          <w:sz w:val="32"/>
          <w:szCs w:val="32"/>
          <w:lang w:eastAsia="zh-CN"/>
        </w:rPr>
      </w:pPr>
      <w:r>
        <w:rPr>
          <w:rFonts w:hint="eastAsia" w:ascii="仿宋_GB2312" w:eastAsia="仿宋_GB2312"/>
          <w:sz w:val="32"/>
          <w:szCs w:val="32"/>
        </w:rPr>
        <w:t>4、对绩效评价工作的重要性认识有待进一步提高，在编制预算绩效目标时量化科学性有待提高，绩效考核方法掌握不够</w:t>
      </w:r>
      <w:r>
        <w:rPr>
          <w:rFonts w:hint="eastAsia" w:ascii="仿宋_GB2312" w:eastAsia="仿宋_GB2312" w:cs="Calibri"/>
          <w:sz w:val="32"/>
          <w:szCs w:val="32"/>
        </w:rPr>
        <w:t>到位，结果应用力度不足，总结经验反馈问题不够及时，绩效考核工作痕迹保存不完备，考核结果工作有效性有待加强和完善。</w:t>
      </w:r>
    </w:p>
    <w:p>
      <w:pPr>
        <w:spacing w:line="600" w:lineRule="exact"/>
        <w:ind w:firstLine="640" w:firstLineChars="200"/>
        <w:rPr>
          <w:rFonts w:hint="eastAsia" w:ascii="仿宋_GB2312" w:eastAsia="仿宋_GB2312" w:cs="Calibri"/>
          <w:sz w:val="32"/>
          <w:szCs w:val="32"/>
        </w:rPr>
      </w:pPr>
      <w:r>
        <w:rPr>
          <w:rFonts w:hint="eastAsia" w:ascii="仿宋_GB2312" w:eastAsia="仿宋_GB2312" w:cs="Calibri"/>
          <w:sz w:val="32"/>
          <w:szCs w:val="32"/>
        </w:rPr>
        <w:t xml:space="preserve">   </w:t>
      </w:r>
    </w:p>
    <w:p>
      <w:pPr>
        <w:spacing w:line="600" w:lineRule="exact"/>
        <w:ind w:firstLine="643" w:firstLineChars="200"/>
        <w:rPr>
          <w:rFonts w:hint="eastAsia" w:ascii="仿宋_GB2312" w:eastAsia="仿宋_GB2312"/>
          <w:b/>
          <w:bCs/>
          <w:sz w:val="32"/>
          <w:szCs w:val="32"/>
        </w:rPr>
      </w:pPr>
      <w:r>
        <w:rPr>
          <w:rFonts w:hint="eastAsia" w:ascii="仿宋_GB2312" w:eastAsia="仿宋_GB2312"/>
          <w:b/>
          <w:bCs/>
          <w:sz w:val="32"/>
          <w:szCs w:val="32"/>
        </w:rPr>
        <w:t>八、有关建议</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1、绩效目标的编制与相应的预算支出范围、方向、效果紧密相关，将绩效目标从数量、质量、成本和时效等方面进一步细化量化，让预算执行、绩效运行监控和绩效评价有据可依，绩效目标要与年度的任务数和计划数相对应，与预算确定的投资额或资金量相匹配。</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2、加强预算管理，注重预算编制的前瞻性，按照《预算法》及其实施条件的相关规定，按照政策规定及本单位的发展规划，结合上一年预算执行情况和本年度预算支出收支变化因素，科学、合理地编制本年预算，在预算执行中确需调剂预算的，按规定程序报经批准。</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在今后的工作中，将严格按照财政支出绩效自评暂行办法的通知，针对财政预算中各项预算绩效目标，加大预算绩效监管力度，在按时完成预算支出执行进度的同时，认真做好绩效目标管理工作。加强对项目开展的可行性、必要性做好充分调研，依据实际情况做好经费支出预算，制定合理的项目实施计划；加强对专项资金的监管，做到专款专用，不滞留、不截留、不挪用；项目实施前期，做好各项准备工作；在实施阶段，做好监督，跟踪管理；实施后及时总结自评。</w:t>
      </w:r>
    </w:p>
    <w:tbl>
      <w:tblPr>
        <w:tblStyle w:val="3"/>
        <w:tblpPr w:leftFromText="180" w:rightFromText="180" w:vertAnchor="text" w:horzAnchor="page" w:tblpXSpec="center" w:tblpY="-58"/>
        <w:tblOverlap w:val="never"/>
        <w:tblW w:w="9742" w:type="dxa"/>
        <w:jc w:val="center"/>
        <w:tblBorders>
          <w:top w:val="none" w:color="auto" w:sz="0" w:space="0"/>
          <w:left w:val="none" w:color="auto" w:sz="0" w:space="0"/>
          <w:bottom w:val="single" w:color="000000" w:sz="4" w:space="0"/>
          <w:right w:val="none" w:color="auto" w:sz="0" w:space="0"/>
          <w:insideH w:val="none" w:color="auto" w:sz="0" w:space="0"/>
          <w:insideV w:val="single" w:color="000000" w:sz="4" w:space="0"/>
        </w:tblBorders>
        <w:tblLayout w:type="fixed"/>
        <w:tblCellMar>
          <w:top w:w="0" w:type="dxa"/>
          <w:left w:w="0" w:type="dxa"/>
          <w:bottom w:w="0" w:type="dxa"/>
          <w:right w:w="0" w:type="dxa"/>
        </w:tblCellMar>
      </w:tblPr>
      <w:tblGrid>
        <w:gridCol w:w="561"/>
        <w:gridCol w:w="585"/>
        <w:gridCol w:w="652"/>
        <w:gridCol w:w="365"/>
        <w:gridCol w:w="3373"/>
        <w:gridCol w:w="3237"/>
        <w:gridCol w:w="969"/>
      </w:tblGrid>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658" w:hRule="atLeast"/>
          <w:tblHeader/>
          <w:jc w:val="center"/>
        </w:trPr>
        <w:tc>
          <w:tcPr>
            <w:tcW w:w="9742" w:type="dxa"/>
            <w:gridSpan w:val="7"/>
            <w:tcBorders>
              <w:bottom w:val="single" w:color="auto" w:sz="4" w:space="0"/>
            </w:tcBorders>
            <w:noWrap w:val="0"/>
            <w:tcMar>
              <w:top w:w="15" w:type="dxa"/>
              <w:left w:w="15" w:type="dxa"/>
              <w:right w:w="15" w:type="dxa"/>
            </w:tcMar>
            <w:vAlign w:val="center"/>
          </w:tcPr>
          <w:p>
            <w:pPr>
              <w:widowControl/>
              <w:spacing w:before="156" w:beforeLines="50" w:after="156" w:afterLines="50"/>
              <w:jc w:val="center"/>
              <w:rPr>
                <w:rFonts w:hint="eastAsia" w:ascii="Times New Roman" w:hAnsi="Times New Roman" w:eastAsia="黑体" w:cs="Times New Roman"/>
                <w:bCs/>
                <w:color w:val="000000"/>
                <w:kern w:val="0"/>
                <w:sz w:val="24"/>
                <w:szCs w:val="24"/>
                <w:lang w:bidi="ar"/>
              </w:rPr>
            </w:pPr>
            <w:r>
              <w:rPr>
                <w:rFonts w:ascii="Times New Roman" w:hAnsi="Times New Roman" w:eastAsia="方正小标宋_GBK" w:cs="Times New Roman"/>
                <w:kern w:val="0"/>
                <w:sz w:val="36"/>
                <w:szCs w:val="36"/>
              </w:rPr>
              <w:t>部门整体支出绩效评价指标表</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658" w:hRule="atLeast"/>
          <w:tblHeader/>
          <w:jc w:val="center"/>
        </w:trPr>
        <w:tc>
          <w:tcPr>
            <w:tcW w:w="561"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rPr>
                <w:rFonts w:hint="eastAsia" w:ascii="Times New Roman" w:hAnsi="Times New Roman" w:eastAsia="黑体" w:cs="Times New Roman"/>
                <w:bCs/>
                <w:color w:val="000000"/>
                <w:kern w:val="0"/>
                <w:sz w:val="24"/>
                <w:szCs w:val="24"/>
                <w:lang w:eastAsia="zh-CN" w:bidi="ar"/>
              </w:rPr>
            </w:pPr>
            <w:r>
              <w:rPr>
                <w:rFonts w:ascii="Times New Roman" w:hAnsi="Times New Roman" w:eastAsia="黑体" w:cs="Times New Roman"/>
                <w:bCs/>
                <w:color w:val="000000"/>
                <w:kern w:val="0"/>
                <w:sz w:val="24"/>
                <w:szCs w:val="24"/>
                <w:lang w:bidi="ar"/>
              </w:rPr>
              <w:t>一级</w:t>
            </w:r>
          </w:p>
          <w:p>
            <w:pPr>
              <w:widowControl/>
              <w:spacing w:line="300" w:lineRule="exact"/>
              <w:jc w:val="center"/>
              <w:rPr>
                <w:rFonts w:ascii="Times New Roman" w:hAnsi="Times New Roman" w:eastAsia="黑体" w:cs="Times New Roman"/>
                <w:bCs/>
                <w:color w:val="000000"/>
                <w:sz w:val="24"/>
                <w:szCs w:val="24"/>
              </w:rPr>
            </w:pPr>
            <w:r>
              <w:rPr>
                <w:rFonts w:ascii="Times New Roman" w:hAnsi="Times New Roman" w:eastAsia="黑体" w:cs="Times New Roman"/>
                <w:bCs/>
                <w:color w:val="000000"/>
                <w:kern w:val="0"/>
                <w:sz w:val="24"/>
                <w:szCs w:val="24"/>
                <w:lang w:bidi="ar"/>
              </w:rPr>
              <w:t>指标</w:t>
            </w:r>
          </w:p>
        </w:tc>
        <w:tc>
          <w:tcPr>
            <w:tcW w:w="58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hint="eastAsia" w:ascii="Times New Roman" w:hAnsi="Times New Roman" w:eastAsia="黑体" w:cs="Times New Roman"/>
                <w:bCs/>
                <w:color w:val="000000"/>
                <w:kern w:val="0"/>
                <w:sz w:val="24"/>
                <w:szCs w:val="24"/>
                <w:lang w:eastAsia="zh-CN" w:bidi="ar"/>
              </w:rPr>
            </w:pPr>
            <w:r>
              <w:rPr>
                <w:rFonts w:ascii="Times New Roman" w:hAnsi="Times New Roman" w:eastAsia="黑体" w:cs="Times New Roman"/>
                <w:bCs/>
                <w:color w:val="000000"/>
                <w:kern w:val="0"/>
                <w:sz w:val="24"/>
                <w:szCs w:val="24"/>
                <w:lang w:bidi="ar"/>
              </w:rPr>
              <w:t>二级</w:t>
            </w:r>
          </w:p>
          <w:p>
            <w:pPr>
              <w:widowControl/>
              <w:spacing w:line="300" w:lineRule="exact"/>
              <w:jc w:val="center"/>
              <w:textAlignment w:val="center"/>
              <w:rPr>
                <w:rFonts w:ascii="Times New Roman" w:hAnsi="Times New Roman" w:eastAsia="黑体" w:cs="Times New Roman"/>
                <w:bCs/>
                <w:color w:val="000000"/>
                <w:sz w:val="24"/>
                <w:szCs w:val="24"/>
              </w:rPr>
            </w:pPr>
            <w:r>
              <w:rPr>
                <w:rFonts w:ascii="Times New Roman" w:hAnsi="Times New Roman" w:eastAsia="黑体" w:cs="Times New Roman"/>
                <w:bCs/>
                <w:color w:val="000000"/>
                <w:kern w:val="0"/>
                <w:sz w:val="24"/>
                <w:szCs w:val="24"/>
                <w:lang w:bidi="ar"/>
              </w:rPr>
              <w:t>指标</w:t>
            </w: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黑体" w:cs="Times New Roman"/>
                <w:bCs/>
                <w:color w:val="000000"/>
                <w:kern w:val="0"/>
                <w:sz w:val="24"/>
                <w:szCs w:val="24"/>
                <w:lang w:bidi="ar"/>
              </w:rPr>
            </w:pPr>
            <w:r>
              <w:rPr>
                <w:rFonts w:ascii="Times New Roman" w:hAnsi="Times New Roman" w:eastAsia="黑体" w:cs="Times New Roman"/>
                <w:bCs/>
                <w:color w:val="000000"/>
                <w:kern w:val="0"/>
                <w:sz w:val="24"/>
                <w:szCs w:val="24"/>
                <w:lang w:bidi="ar"/>
              </w:rPr>
              <w:t>三级</w:t>
            </w:r>
          </w:p>
          <w:p>
            <w:pPr>
              <w:widowControl/>
              <w:spacing w:line="300" w:lineRule="exact"/>
              <w:jc w:val="center"/>
              <w:textAlignment w:val="center"/>
              <w:rPr>
                <w:rFonts w:ascii="Times New Roman" w:hAnsi="Times New Roman" w:eastAsia="黑体" w:cs="Times New Roman"/>
                <w:bCs/>
                <w:color w:val="000000"/>
                <w:sz w:val="24"/>
                <w:szCs w:val="24"/>
              </w:rPr>
            </w:pPr>
            <w:r>
              <w:rPr>
                <w:rFonts w:ascii="Times New Roman" w:hAnsi="Times New Roman" w:eastAsia="黑体" w:cs="Times New Roman"/>
                <w:bCs/>
                <w:color w:val="000000"/>
                <w:kern w:val="0"/>
                <w:sz w:val="24"/>
                <w:szCs w:val="24"/>
                <w:lang w:bidi="ar"/>
              </w:rPr>
              <w:t>指标</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黑体" w:cs="Times New Roman"/>
                <w:bCs/>
                <w:color w:val="000000"/>
                <w:sz w:val="24"/>
                <w:szCs w:val="24"/>
              </w:rPr>
            </w:pPr>
            <w:r>
              <w:rPr>
                <w:rFonts w:ascii="Times New Roman" w:hAnsi="Times New Roman" w:eastAsia="黑体" w:cs="Times New Roman"/>
                <w:bCs/>
                <w:color w:val="000000"/>
                <w:kern w:val="0"/>
                <w:sz w:val="24"/>
                <w:szCs w:val="24"/>
                <w:lang w:bidi="ar"/>
              </w:rPr>
              <w:t>分值</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黑体" w:cs="Times New Roman"/>
                <w:bCs/>
                <w:color w:val="000000"/>
                <w:sz w:val="24"/>
                <w:szCs w:val="24"/>
              </w:rPr>
            </w:pPr>
            <w:r>
              <w:rPr>
                <w:rFonts w:ascii="Times New Roman" w:hAnsi="Times New Roman" w:eastAsia="黑体" w:cs="Times New Roman"/>
                <w:bCs/>
                <w:color w:val="000000"/>
                <w:kern w:val="0"/>
                <w:sz w:val="24"/>
                <w:szCs w:val="24"/>
                <w:lang w:bidi="ar"/>
              </w:rPr>
              <w:t>指标解释</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黑体" w:cs="Times New Roman"/>
                <w:bCs/>
                <w:color w:val="000000"/>
                <w:sz w:val="24"/>
                <w:szCs w:val="24"/>
              </w:rPr>
            </w:pPr>
            <w:r>
              <w:rPr>
                <w:rFonts w:ascii="Times New Roman" w:hAnsi="Times New Roman" w:eastAsia="黑体" w:cs="Times New Roman"/>
                <w:bCs/>
                <w:color w:val="000000"/>
                <w:kern w:val="0"/>
                <w:sz w:val="24"/>
                <w:szCs w:val="24"/>
                <w:lang w:bidi="ar"/>
              </w:rPr>
              <w:t>评分标准</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hint="eastAsia" w:ascii="Times New Roman" w:hAnsi="Times New Roman" w:eastAsia="黑体" w:cs="Times New Roman"/>
                <w:bCs/>
                <w:color w:val="000000"/>
                <w:kern w:val="0"/>
                <w:sz w:val="24"/>
                <w:szCs w:val="24"/>
                <w:lang w:bidi="ar"/>
              </w:rPr>
            </w:pPr>
            <w:r>
              <w:rPr>
                <w:rFonts w:hint="eastAsia" w:ascii="Times New Roman" w:hAnsi="Times New Roman" w:eastAsia="黑体" w:cs="Times New Roman"/>
                <w:bCs/>
                <w:color w:val="000000"/>
                <w:kern w:val="0"/>
                <w:sz w:val="24"/>
                <w:szCs w:val="24"/>
                <w:lang w:bidi="ar"/>
              </w:rPr>
              <w:t>自评</w:t>
            </w:r>
          </w:p>
          <w:p>
            <w:pPr>
              <w:widowControl/>
              <w:spacing w:line="300" w:lineRule="exact"/>
              <w:jc w:val="center"/>
              <w:textAlignment w:val="center"/>
              <w:rPr>
                <w:rFonts w:ascii="Times New Roman" w:hAnsi="Times New Roman" w:eastAsia="黑体" w:cs="Times New Roman"/>
                <w:bCs/>
                <w:color w:val="000000"/>
                <w:kern w:val="0"/>
                <w:sz w:val="24"/>
                <w:szCs w:val="24"/>
                <w:lang w:bidi="ar"/>
              </w:rPr>
            </w:pPr>
            <w:r>
              <w:rPr>
                <w:rFonts w:hint="eastAsia" w:ascii="Times New Roman" w:hAnsi="Times New Roman" w:eastAsia="黑体" w:cs="Times New Roman"/>
                <w:bCs/>
                <w:color w:val="000000"/>
                <w:kern w:val="0"/>
                <w:sz w:val="24"/>
                <w:szCs w:val="24"/>
                <w:lang w:bidi="ar"/>
              </w:rPr>
              <w:t>得分</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960" w:hRule="atLeast"/>
          <w:jc w:val="center"/>
        </w:trPr>
        <w:tc>
          <w:tcPr>
            <w:tcW w:w="561" w:type="dxa"/>
            <w:vMerge w:val="restart"/>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28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投   入</w:t>
            </w:r>
          </w:p>
        </w:tc>
        <w:tc>
          <w:tcPr>
            <w:tcW w:w="585"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jc w:val="center"/>
              <w:textAlignment w:val="center"/>
              <w:rPr>
                <w:rFonts w:hint="eastAsia" w:ascii="Times New Roman" w:hAnsi="Times New Roman" w:eastAsia="仿宋" w:cs="Times New Roman"/>
                <w:color w:val="000000"/>
                <w:kern w:val="0"/>
                <w:sz w:val="24"/>
                <w:szCs w:val="24"/>
                <w:lang w:eastAsia="zh-CN" w:bidi="ar"/>
              </w:rPr>
            </w:pPr>
            <w:r>
              <w:rPr>
                <w:rFonts w:ascii="Times New Roman" w:hAnsi="Times New Roman" w:eastAsia="仿宋" w:cs="Times New Roman"/>
                <w:color w:val="000000"/>
                <w:kern w:val="0"/>
                <w:sz w:val="24"/>
                <w:szCs w:val="24"/>
                <w:lang w:bidi="ar"/>
              </w:rPr>
              <w:t>目标</w:t>
            </w:r>
          </w:p>
          <w:p>
            <w:pPr>
              <w:widowControl/>
              <w:spacing w:line="28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设定</w:t>
            </w: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绩效目标合理性</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5</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部门（单位）所设立的整体绩效目标依据是否充分，是否符合客观实际，用以反映和考核部门（单位）整体绩效目标与部门履职、年度工作任务的相符性情况。</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①符合国家法律法规、国民经济和社会发展总体规划，得1分；</w:t>
            </w:r>
          </w:p>
          <w:p>
            <w:pPr>
              <w:widowControl/>
              <w:spacing w:line="28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②符合部门职责，得1分；</w:t>
            </w:r>
          </w:p>
          <w:p>
            <w:pPr>
              <w:widowControl/>
              <w:spacing w:line="28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③符合部门制定的中长期实施规划，得3分。</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5</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1200"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280" w:lineRule="exact"/>
              <w:jc w:val="center"/>
              <w:rPr>
                <w:rFonts w:ascii="Times New Roman" w:hAnsi="Times New Roman" w:eastAsia="仿宋" w:cs="Times New Roman"/>
                <w:color w:val="0000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jc w:val="center"/>
              <w:rPr>
                <w:rFonts w:ascii="Times New Roman" w:hAnsi="Times New Roman" w:eastAsia="仿宋" w:cs="Times New Roman"/>
                <w:color w:val="000000"/>
                <w:sz w:val="24"/>
                <w:szCs w:val="24"/>
              </w:rPr>
            </w:pP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绩效指标明确性</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7</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部门（单位）依据整体绩效目标所设定的绩效指标是否清晰、细化、可衡量，用以反映和考核部门（单位）整体绩效目标的明细化情况。</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①将部门整体的绩效目标细化分解为具体的工作任务，得1分；</w:t>
            </w:r>
          </w:p>
          <w:p>
            <w:pPr>
              <w:widowControl/>
              <w:spacing w:line="28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②通过清晰、可衡量的指标值予以体现，得2分；</w:t>
            </w:r>
          </w:p>
          <w:p>
            <w:pPr>
              <w:widowControl/>
              <w:spacing w:line="28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③与部门年度的任务数或计划数相对应，得2分；</w:t>
            </w:r>
          </w:p>
          <w:p>
            <w:pPr>
              <w:widowControl/>
              <w:spacing w:line="28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④与本年度部门预算资金相匹配，得2分。</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7</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2738"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280" w:lineRule="exact"/>
              <w:jc w:val="center"/>
              <w:rPr>
                <w:rFonts w:ascii="Times New Roman" w:hAnsi="Times New Roman" w:eastAsia="仿宋" w:cs="Times New Roman"/>
                <w:color w:val="000000"/>
                <w:sz w:val="24"/>
                <w:szCs w:val="24"/>
              </w:rPr>
            </w:pPr>
          </w:p>
        </w:tc>
        <w:tc>
          <w:tcPr>
            <w:tcW w:w="585"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jc w:val="center"/>
              <w:textAlignment w:val="center"/>
              <w:rPr>
                <w:rFonts w:hint="eastAsia" w:ascii="Times New Roman" w:hAnsi="Times New Roman" w:eastAsia="仿宋" w:cs="Times New Roman"/>
                <w:color w:val="000000"/>
                <w:kern w:val="0"/>
                <w:sz w:val="24"/>
                <w:szCs w:val="24"/>
                <w:lang w:eastAsia="zh-CN" w:bidi="ar"/>
              </w:rPr>
            </w:pPr>
            <w:r>
              <w:rPr>
                <w:rFonts w:ascii="Times New Roman" w:hAnsi="Times New Roman" w:eastAsia="仿宋" w:cs="Times New Roman"/>
                <w:color w:val="000000"/>
                <w:kern w:val="0"/>
                <w:sz w:val="24"/>
                <w:szCs w:val="24"/>
                <w:lang w:bidi="ar"/>
              </w:rPr>
              <w:t>预算</w:t>
            </w:r>
          </w:p>
          <w:p>
            <w:pPr>
              <w:widowControl/>
              <w:spacing w:line="28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配置</w:t>
            </w: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在职人员控制率</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3</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在职人员控制率=（在职人员数/编制数）×100%。</w:t>
            </w:r>
          </w:p>
          <w:p>
            <w:pPr>
              <w:widowControl/>
              <w:spacing w:line="28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在职人员数：部门（单位）实际在职人数，以财政部</w:t>
            </w:r>
            <w:r>
              <w:rPr>
                <w:rFonts w:hint="eastAsia" w:ascii="Times New Roman" w:hAnsi="Times New Roman" w:eastAsia="仿宋" w:cs="Times New Roman"/>
                <w:color w:val="000000"/>
                <w:kern w:val="0"/>
                <w:sz w:val="24"/>
                <w:szCs w:val="24"/>
                <w:lang w:bidi="ar"/>
              </w:rPr>
              <w:t>门</w:t>
            </w:r>
            <w:r>
              <w:rPr>
                <w:rFonts w:ascii="Times New Roman" w:hAnsi="Times New Roman" w:eastAsia="仿宋" w:cs="Times New Roman"/>
                <w:color w:val="000000"/>
                <w:kern w:val="0"/>
                <w:sz w:val="24"/>
                <w:szCs w:val="24"/>
                <w:lang w:bidi="ar"/>
              </w:rPr>
              <w:t>确定的部门决算编制口径为准。扣掉编制部门和劳动部门批复同意的临聘人员。</w:t>
            </w:r>
          </w:p>
          <w:p>
            <w:pPr>
              <w:widowControl/>
              <w:spacing w:line="28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编制数：机构编制部门核定批复的部门（单位）的人员编制数。</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在职人员控制率≤100%，得3分；</w:t>
            </w:r>
          </w:p>
          <w:p>
            <w:pPr>
              <w:widowControl/>
              <w:spacing w:line="28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每超过一个百分点扣0.5分，扣完为止。</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ind w:firstLine="240" w:firstLineChars="100"/>
              <w:jc w:val="left"/>
              <w:textAlignment w:val="center"/>
              <w:rPr>
                <w:rFonts w:hint="default"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2.5</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2090"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280" w:lineRule="exact"/>
              <w:jc w:val="center"/>
              <w:rPr>
                <w:rFonts w:ascii="Times New Roman" w:hAnsi="Times New Roman" w:eastAsia="仿宋" w:cs="Times New Roman"/>
                <w:color w:val="0000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jc w:val="center"/>
              <w:rPr>
                <w:rFonts w:ascii="Times New Roman" w:hAnsi="Times New Roman" w:eastAsia="仿宋" w:cs="Times New Roman"/>
                <w:color w:val="000000"/>
                <w:sz w:val="24"/>
                <w:szCs w:val="24"/>
              </w:rPr>
            </w:pP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“三公经费”变动率</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5</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“三公经费”变动率=[（本年度“三公经费”预算数-上年度“三公经费”预算数）/上年度“三公经费”预算数]×100%。</w:t>
            </w:r>
          </w:p>
          <w:p>
            <w:pPr>
              <w:widowControl/>
              <w:spacing w:line="28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“三公经费”：年度预算安排的因公出国（境）费、公务车辆购置及运行费和公务招待费。</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“三公经费”变动率≤0，得5分；</w:t>
            </w:r>
          </w:p>
          <w:p>
            <w:pPr>
              <w:widowControl/>
              <w:spacing w:line="28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每超过一个百分点扣0.5分，扣完为止。</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5</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2875"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280" w:lineRule="exact"/>
              <w:jc w:val="center"/>
              <w:rPr>
                <w:rFonts w:ascii="Times New Roman" w:hAnsi="Times New Roman" w:eastAsia="仿宋" w:cs="Times New Roman"/>
                <w:color w:val="0000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jc w:val="center"/>
              <w:rPr>
                <w:rFonts w:ascii="Times New Roman" w:hAnsi="Times New Roman" w:eastAsia="仿宋" w:cs="Times New Roman"/>
                <w:color w:val="000000"/>
                <w:sz w:val="24"/>
                <w:szCs w:val="24"/>
              </w:rPr>
            </w:pP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重点支出安排率</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5</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重点支出安排率=（重点项目支出/项目总支出）×100%。</w:t>
            </w:r>
          </w:p>
          <w:p>
            <w:pPr>
              <w:widowControl/>
              <w:spacing w:line="28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重点项目支出：部门（单位）年度预算安排的，与本部门履职和发展密切相关、具有明显社会和经济影响、党委政府关心或社会比较关注的项目支出总额。</w:t>
            </w:r>
          </w:p>
          <w:p>
            <w:pPr>
              <w:widowControl/>
              <w:spacing w:line="28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项目总支出：部门（单位）年度预算安排的项目支出总额。</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重点支出安排率≥90%，得5分；</w:t>
            </w:r>
          </w:p>
          <w:p>
            <w:pPr>
              <w:widowControl/>
              <w:spacing w:line="28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80%（含）-90%，得4分；</w:t>
            </w:r>
          </w:p>
          <w:p>
            <w:pPr>
              <w:widowControl/>
              <w:spacing w:line="28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70%（含）-80%，得3分；</w:t>
            </w:r>
          </w:p>
          <w:p>
            <w:pPr>
              <w:widowControl/>
              <w:spacing w:line="28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60%（含）-70%，得2分；</w:t>
            </w:r>
          </w:p>
          <w:p>
            <w:pPr>
              <w:widowControl/>
              <w:spacing w:line="28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＜60%，得0分。</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28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5</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660" w:hRule="atLeast"/>
          <w:jc w:val="center"/>
        </w:trPr>
        <w:tc>
          <w:tcPr>
            <w:tcW w:w="561" w:type="dxa"/>
            <w:vMerge w:val="restart"/>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过   程</w:t>
            </w:r>
          </w:p>
        </w:tc>
        <w:tc>
          <w:tcPr>
            <w:tcW w:w="585"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hint="eastAsia" w:ascii="Times New Roman" w:hAnsi="Times New Roman" w:eastAsia="仿宋" w:cs="Times New Roman"/>
                <w:color w:val="000000"/>
                <w:kern w:val="0"/>
                <w:sz w:val="24"/>
                <w:szCs w:val="24"/>
                <w:lang w:eastAsia="zh-CN" w:bidi="ar"/>
              </w:rPr>
            </w:pPr>
            <w:r>
              <w:rPr>
                <w:rFonts w:ascii="Times New Roman" w:hAnsi="Times New Roman" w:eastAsia="仿宋" w:cs="Times New Roman"/>
                <w:color w:val="000000"/>
                <w:kern w:val="0"/>
                <w:sz w:val="24"/>
                <w:szCs w:val="24"/>
                <w:lang w:bidi="ar"/>
              </w:rPr>
              <w:t>预算</w:t>
            </w:r>
          </w:p>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执行</w:t>
            </w: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预算完成率</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4</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预算完成率=（上年结转+年初预算+本年追加-年末结余）/（上年结转+年初预算+本年追加）×100%。</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预算完成率≥95%，得4分；</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每降低5%，扣1分，扣完为止。</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4</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960"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rPr>
                <w:rFonts w:ascii="Times New Roman" w:hAnsi="Times New Roman" w:eastAsia="仿宋" w:cs="Times New Roman"/>
                <w:color w:val="0000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rPr>
                <w:rFonts w:ascii="Times New Roman" w:hAnsi="Times New Roman" w:eastAsia="仿宋" w:cs="Times New Roman"/>
                <w:color w:val="000000"/>
                <w:sz w:val="24"/>
                <w:szCs w:val="24"/>
              </w:rPr>
            </w:pP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预算调整率</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2</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预算调整率=（本年追加预算/年初预算）×100%。</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本年追加预算：部门（单位）在本年度内涉及预算的追加资金总和（因落实国家政策、发生不可抗力、上级部门或本级党委政府临时交办而产生的调整除外）。</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预算调整率≤5%，得2分；</w:t>
            </w:r>
          </w:p>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5%-10%（含），得1.5分；</w:t>
            </w:r>
          </w:p>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10%-15%（含），得1分；</w:t>
            </w:r>
          </w:p>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15%-20%（含），得0.5分；</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＞20%，得0分。</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2</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720"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rPr>
                <w:rFonts w:ascii="Times New Roman" w:hAnsi="Times New Roman" w:eastAsia="仿宋" w:cs="Times New Roman"/>
                <w:color w:val="0000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rPr>
                <w:rFonts w:ascii="Times New Roman" w:hAnsi="Times New Roman" w:eastAsia="仿宋" w:cs="Times New Roman"/>
                <w:color w:val="000000"/>
                <w:sz w:val="24"/>
                <w:szCs w:val="24"/>
              </w:rPr>
            </w:pP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新建楼堂馆所面积控制率</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2</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hint="eastAsia" w:ascii="Times New Roman" w:hAnsi="Times New Roman" w:eastAsia="仿宋" w:cs="Times New Roman"/>
                <w:color w:val="000000"/>
                <w:kern w:val="0"/>
                <w:sz w:val="24"/>
                <w:szCs w:val="24"/>
                <w:lang w:eastAsia="zh-CN" w:bidi="ar"/>
              </w:rPr>
            </w:pPr>
            <w:r>
              <w:rPr>
                <w:rFonts w:ascii="Times New Roman" w:hAnsi="Times New Roman" w:eastAsia="仿宋" w:cs="Times New Roman"/>
                <w:color w:val="000000"/>
                <w:kern w:val="0"/>
                <w:sz w:val="24"/>
                <w:szCs w:val="24"/>
                <w:lang w:bidi="ar"/>
              </w:rPr>
              <w:t>楼堂馆所面积控制率=实际建设面积/批准建设面积×100% 。</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该指标以20××年完工的新建楼堂馆所为评价内容。</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楼堂馆所面积控制率≤100%，得2分；</w:t>
            </w:r>
          </w:p>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每超出5%扣1分，扣完为止。</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没有楼梯馆所项目的部门剔除此项指标。</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2</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2309"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rPr>
                <w:rFonts w:ascii="Times New Roman" w:hAnsi="Times New Roman" w:eastAsia="仿宋" w:cs="Times New Roman"/>
                <w:color w:val="0000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rPr>
                <w:rFonts w:ascii="Times New Roman" w:hAnsi="Times New Roman" w:eastAsia="仿宋" w:cs="Times New Roman"/>
                <w:color w:val="000000"/>
                <w:sz w:val="24"/>
                <w:szCs w:val="24"/>
              </w:rPr>
            </w:pP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新建楼堂馆所投资概算控制率</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2</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楼堂馆所投资预算控制率=实际投资金额/批准投资金额×100% 。</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该指标以</w:t>
            </w:r>
            <w:r>
              <w:rPr>
                <w:rFonts w:hint="eastAsia" w:ascii="Times New Roman" w:hAnsi="Times New Roman" w:eastAsia="仿宋" w:cs="Times New Roman"/>
                <w:color w:val="000000"/>
                <w:kern w:val="0"/>
                <w:sz w:val="24"/>
                <w:szCs w:val="24"/>
                <w:lang w:eastAsia="zh-CN" w:bidi="ar"/>
              </w:rPr>
              <w:t>2021</w:t>
            </w:r>
            <w:r>
              <w:rPr>
                <w:rFonts w:ascii="Times New Roman" w:hAnsi="Times New Roman" w:eastAsia="仿宋" w:cs="Times New Roman"/>
                <w:color w:val="000000"/>
                <w:kern w:val="0"/>
                <w:sz w:val="24"/>
                <w:szCs w:val="24"/>
                <w:lang w:bidi="ar"/>
              </w:rPr>
              <w:t>年完工的新建楼堂馆所为评价内容。</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楼堂馆所面积控制率≤100%，得2分；</w:t>
            </w:r>
          </w:p>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每超出5%扣1分，扣完为止。</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没有楼梯馆所项目的部门剔除此项指标。</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2</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1591"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rPr>
                <w:rFonts w:ascii="Times New Roman" w:hAnsi="Times New Roman" w:eastAsia="仿宋" w:cs="Times New Roman"/>
                <w:color w:val="0000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公用经费控制率</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2</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公用经费控制率=（实际支出公用经费总额/预算安排公用经费总额）×100%。</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公用经费控制率≤100%，得2分；</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每超过5%，扣1分，扣完为止。</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1</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1578"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rPr>
                <w:rFonts w:ascii="Times New Roman" w:hAnsi="Times New Roman" w:eastAsia="仿宋" w:cs="Times New Roman"/>
                <w:color w:val="0000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rPr>
                <w:rFonts w:ascii="Times New Roman" w:hAnsi="Times New Roman" w:eastAsia="仿宋" w:cs="Times New Roman"/>
                <w:color w:val="000000"/>
                <w:sz w:val="24"/>
                <w:szCs w:val="24"/>
              </w:rPr>
            </w:pP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“三公经费”控制率</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2</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“三公经费”控制率=（“三公经费”实际支出数/“三公经费”预算安排数）×100%。</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“三公经费”控制率≤100%，得2分；</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每超过5%，扣1分，扣完为止。</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1</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2528"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rPr>
                <w:rFonts w:ascii="Times New Roman" w:hAnsi="Times New Roman" w:eastAsia="仿宋" w:cs="Times New Roman"/>
                <w:color w:val="0000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rPr>
                <w:rFonts w:ascii="Times New Roman" w:hAnsi="Times New Roman" w:eastAsia="仿宋" w:cs="Times New Roman"/>
                <w:color w:val="000000"/>
                <w:sz w:val="24"/>
                <w:szCs w:val="24"/>
              </w:rPr>
            </w:pP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政府采购执行率</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2</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政府采购执行率=（实际政府采购金额/政府采购预算数）×100%；</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 xml:space="preserve">政府采购预算：采购机关根据事业发展计划和行政任务编制的、并经过规定程序批准的年度政府采购计划。 </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政府采购执行率=100%，得2分；</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每超过（降低）5%，扣1分，扣完为止。</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2</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310"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rPr>
                <w:rFonts w:ascii="Times New Roman" w:hAnsi="Times New Roman" w:eastAsia="仿宋" w:cs="Times New Roman"/>
                <w:color w:val="000000"/>
                <w:sz w:val="24"/>
                <w:szCs w:val="24"/>
              </w:rPr>
            </w:pPr>
          </w:p>
        </w:tc>
        <w:tc>
          <w:tcPr>
            <w:tcW w:w="585"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hint="eastAsia" w:ascii="Times New Roman" w:hAnsi="Times New Roman" w:eastAsia="仿宋" w:cs="Times New Roman"/>
                <w:color w:val="000000"/>
                <w:kern w:val="0"/>
                <w:sz w:val="24"/>
                <w:szCs w:val="24"/>
                <w:lang w:eastAsia="zh-CN" w:bidi="ar"/>
              </w:rPr>
            </w:pPr>
            <w:r>
              <w:rPr>
                <w:rFonts w:ascii="Times New Roman" w:hAnsi="Times New Roman" w:eastAsia="仿宋" w:cs="Times New Roman"/>
                <w:color w:val="000000"/>
                <w:kern w:val="0"/>
                <w:sz w:val="24"/>
                <w:szCs w:val="24"/>
                <w:lang w:bidi="ar"/>
              </w:rPr>
              <w:t>预算</w:t>
            </w:r>
          </w:p>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管理</w:t>
            </w: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管理制度健全性</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2</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①是否已制定或具有预算资金管理办法、内部财务管理制度、会计核算制度、本部门厉行节约制度等管理制度；</w:t>
            </w:r>
          </w:p>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②相关管理制度是否合法、合规、完整；</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③相关管理制度是否得到有效执行。</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每发现一类不合规问题，扣1分，扣完为止。</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2</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3468"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rPr>
                <w:rFonts w:ascii="Times New Roman" w:hAnsi="Times New Roman" w:eastAsia="仿宋" w:cs="Times New Roman"/>
                <w:color w:val="0000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rPr>
                <w:rFonts w:ascii="Times New Roman" w:hAnsi="Times New Roman" w:eastAsia="仿宋" w:cs="Times New Roman"/>
                <w:color w:val="000000"/>
                <w:sz w:val="24"/>
                <w:szCs w:val="24"/>
              </w:rPr>
            </w:pP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资金使用合规性</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5</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①是否符合国家财经法规和财务管理制度规定以及有关专项资金管理办法的规定；</w:t>
            </w:r>
          </w:p>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②资金的拨付是否有完整的审批程序和手续；</w:t>
            </w:r>
          </w:p>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③项目的重大开支是否经过评估论证；</w:t>
            </w:r>
          </w:p>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④是否符合部门预算批复的用途；</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⑤是否存在截留、挤占、挪用、虚列支出等情况。</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每发现一类不合规问题，扣1分，扣完为止。</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5</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2243"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rPr>
                <w:rFonts w:ascii="Times New Roman" w:hAnsi="Times New Roman" w:eastAsia="仿宋" w:cs="Times New Roman"/>
                <w:color w:val="0000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rPr>
                <w:rFonts w:ascii="Times New Roman" w:hAnsi="Times New Roman" w:eastAsia="仿宋" w:cs="Times New Roman"/>
                <w:color w:val="000000"/>
                <w:sz w:val="24"/>
                <w:szCs w:val="24"/>
              </w:rPr>
            </w:pP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预决算信息公开性</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2</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①是否按规定内容、规定时限公开预决算信息；</w:t>
            </w:r>
          </w:p>
          <w:p>
            <w:pPr>
              <w:widowControl/>
              <w:spacing w:line="300" w:lineRule="exact"/>
              <w:ind w:firstLine="240" w:firstLineChars="100"/>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②基础数据信息和会计信息资料是否真实、完整、准确。预决算信息是指与部门预算、执行、决算、监督、绩效等管理相关的信息。</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①按规定内容、规定时限公开预决算信息，得1分；</w:t>
            </w:r>
          </w:p>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②基础数据信息和会计信息资料真实、完整、准确，得1分。</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每发现一类不合规问题，扣1分，扣完为止。</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2</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720"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rPr>
                <w:rFonts w:ascii="Times New Roman" w:hAnsi="Times New Roman" w:eastAsia="仿宋" w:cs="Times New Roman"/>
                <w:color w:val="000000"/>
                <w:sz w:val="24"/>
                <w:szCs w:val="24"/>
              </w:rPr>
            </w:pPr>
          </w:p>
        </w:tc>
        <w:tc>
          <w:tcPr>
            <w:tcW w:w="585"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hint="eastAsia" w:ascii="Times New Roman" w:hAnsi="Times New Roman" w:eastAsia="仿宋" w:cs="Times New Roman"/>
                <w:color w:val="000000"/>
                <w:kern w:val="0"/>
                <w:sz w:val="24"/>
                <w:szCs w:val="24"/>
                <w:lang w:eastAsia="zh-CN" w:bidi="ar"/>
              </w:rPr>
            </w:pPr>
            <w:r>
              <w:rPr>
                <w:rFonts w:ascii="Times New Roman" w:hAnsi="Times New Roman" w:eastAsia="仿宋" w:cs="Times New Roman"/>
                <w:color w:val="000000"/>
                <w:kern w:val="0"/>
                <w:sz w:val="24"/>
                <w:szCs w:val="24"/>
                <w:lang w:bidi="ar"/>
              </w:rPr>
              <w:t>资产</w:t>
            </w:r>
          </w:p>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管理</w:t>
            </w: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管理制度健全性</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1</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是否已制定或具有资产管理制度；相关资金管理制度是否合法、合规、完整；相关资产管理制度是否得到有效执行。</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①已制定或具有资产管理制度，相关资金管理制度合法、合规、完整。得0.5分；</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 xml:space="preserve"> ②相关资产管理制度得到有效执行，得0.5分。</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1</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1468"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rPr>
                <w:rFonts w:ascii="Times New Roman" w:hAnsi="Times New Roman" w:eastAsia="仿宋" w:cs="Times New Roman"/>
                <w:color w:val="0000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rPr>
                <w:rFonts w:ascii="Times New Roman" w:hAnsi="Times New Roman" w:eastAsia="仿宋" w:cs="Times New Roman"/>
                <w:color w:val="000000"/>
                <w:sz w:val="24"/>
                <w:szCs w:val="24"/>
              </w:rPr>
            </w:pP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资产管理安全性</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1</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资产是否保存完整、使用合规、配置合理、处置规范、收入及时足额上缴。</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①资产保存完整、配置合理、处置规范，得0.5分；</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②资产账务管理合规，帐实相符，得0.5分；</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1</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2261"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rPr>
                <w:rFonts w:ascii="Times New Roman" w:hAnsi="Times New Roman" w:eastAsia="仿宋" w:cs="Times New Roman"/>
                <w:color w:val="0000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rPr>
                <w:rFonts w:ascii="Times New Roman" w:hAnsi="Times New Roman" w:eastAsia="仿宋" w:cs="Times New Roman"/>
                <w:color w:val="000000"/>
                <w:sz w:val="24"/>
                <w:szCs w:val="24"/>
              </w:rPr>
            </w:pP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固定资产利用率</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1</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hint="eastAsia" w:ascii="Times New Roman" w:hAnsi="Times New Roman" w:eastAsia="仿宋" w:cs="Times New Roman"/>
                <w:color w:val="000000"/>
                <w:kern w:val="0"/>
                <w:sz w:val="24"/>
                <w:szCs w:val="24"/>
                <w:lang w:eastAsia="zh-CN" w:bidi="ar"/>
              </w:rPr>
            </w:pPr>
            <w:r>
              <w:rPr>
                <w:rFonts w:ascii="Times New Roman" w:hAnsi="Times New Roman" w:eastAsia="仿宋" w:cs="Times New Roman"/>
                <w:color w:val="000000"/>
                <w:kern w:val="0"/>
                <w:sz w:val="24"/>
                <w:szCs w:val="24"/>
                <w:lang w:bidi="ar"/>
              </w:rPr>
              <w:t>实际在用固定资产总额与所有固定资产总额的比率，用以反映和考核部门（单位）固定资产使用效率程度。</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固定资产利用率=（实际在用固定资产总额/所有固定资产总额）×100%。</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固定资产利用率=100%，得1分；</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每低于1%，扣0.1分，扣完为止。</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1</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90" w:hRule="atLeast"/>
          <w:jc w:val="center"/>
        </w:trPr>
        <w:tc>
          <w:tcPr>
            <w:tcW w:w="561" w:type="dxa"/>
            <w:vMerge w:val="restart"/>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产   出</w:t>
            </w:r>
          </w:p>
        </w:tc>
        <w:tc>
          <w:tcPr>
            <w:tcW w:w="585"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hint="eastAsia" w:ascii="Times New Roman" w:hAnsi="Times New Roman" w:eastAsia="仿宋" w:cs="Times New Roman"/>
                <w:color w:val="000000"/>
                <w:kern w:val="0"/>
                <w:sz w:val="24"/>
                <w:szCs w:val="24"/>
                <w:lang w:eastAsia="zh-CN" w:bidi="ar"/>
              </w:rPr>
            </w:pPr>
            <w:r>
              <w:rPr>
                <w:rFonts w:ascii="Times New Roman" w:hAnsi="Times New Roman" w:eastAsia="仿宋" w:cs="Times New Roman"/>
                <w:color w:val="000000"/>
                <w:kern w:val="0"/>
                <w:sz w:val="24"/>
                <w:szCs w:val="24"/>
                <w:lang w:bidi="ar"/>
              </w:rPr>
              <w:t>职责</w:t>
            </w:r>
          </w:p>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履行</w:t>
            </w: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个性化指标</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17</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从实际完成率、完成及时率、质量达标率等方面设置</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rPr>
                <w:rFonts w:ascii="Times New Roman" w:hAnsi="Times New Roman" w:eastAsia="仿宋" w:cs="Times New Roman"/>
                <w:color w:val="000000"/>
                <w:sz w:val="24"/>
                <w:szCs w:val="24"/>
              </w:rPr>
            </w:pP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rPr>
                <w:rFonts w:hint="default" w:ascii="Times New Roman" w:hAnsi="Times New Roman" w:eastAsia="仿宋" w:cs="Times New Roman"/>
                <w:color w:val="000000"/>
                <w:sz w:val="24"/>
                <w:szCs w:val="24"/>
                <w:lang w:val="en-US" w:eastAsia="zh-CN"/>
              </w:rPr>
            </w:pPr>
            <w:r>
              <w:rPr>
                <w:rFonts w:hint="eastAsia" w:ascii="Times New Roman" w:hAnsi="Times New Roman" w:eastAsia="仿宋" w:cs="Times New Roman"/>
                <w:color w:val="000000"/>
                <w:sz w:val="24"/>
                <w:szCs w:val="24"/>
                <w:lang w:val="en-US" w:eastAsia="zh-CN"/>
              </w:rPr>
              <w:t>15</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960"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rPr>
                <w:rFonts w:ascii="Times New Roman" w:hAnsi="Times New Roman" w:eastAsia="仿宋" w:cs="Times New Roman"/>
                <w:color w:val="0000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rPr>
                <w:rFonts w:ascii="Times New Roman" w:hAnsi="Times New Roman" w:eastAsia="仿宋" w:cs="Times New Roman"/>
                <w:color w:val="000000"/>
                <w:sz w:val="24"/>
                <w:szCs w:val="24"/>
              </w:rPr>
            </w:pP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重点工作办结率</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5</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部门（单位）年度重点工作实际完成数与交办或下达数的比率，用以反映部门（单位）对重点工作的办理落实程度。</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重点工作办结率=（重点工作实际完成数/交办或下达数）×100%。</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重点工作是指党委、政府、人大、相关部门交办或下达的工作任务。</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5</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817" w:hRule="atLeast"/>
          <w:jc w:val="center"/>
        </w:trPr>
        <w:tc>
          <w:tcPr>
            <w:tcW w:w="561" w:type="dxa"/>
            <w:vMerge w:val="restart"/>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效   果</w:t>
            </w:r>
          </w:p>
        </w:tc>
        <w:tc>
          <w:tcPr>
            <w:tcW w:w="585"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hint="eastAsia" w:ascii="Times New Roman" w:hAnsi="Times New Roman" w:eastAsia="仿宋" w:cs="Times New Roman"/>
                <w:color w:val="000000"/>
                <w:kern w:val="0"/>
                <w:sz w:val="24"/>
                <w:szCs w:val="24"/>
                <w:lang w:eastAsia="zh-CN" w:bidi="ar"/>
              </w:rPr>
            </w:pPr>
            <w:r>
              <w:rPr>
                <w:rFonts w:ascii="Times New Roman" w:hAnsi="Times New Roman" w:eastAsia="仿宋" w:cs="Times New Roman"/>
                <w:color w:val="000000"/>
                <w:kern w:val="0"/>
                <w:sz w:val="24"/>
                <w:szCs w:val="24"/>
                <w:lang w:bidi="ar"/>
              </w:rPr>
              <w:t>履职</w:t>
            </w:r>
          </w:p>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效益</w:t>
            </w: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经济效益</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5</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部门（单位）履行职责对经济发展所带来的直接或间接影响。</w:t>
            </w:r>
          </w:p>
        </w:tc>
        <w:tc>
          <w:tcPr>
            <w:tcW w:w="3237" w:type="dxa"/>
            <w:vMerge w:val="restart"/>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此三项指标为设置部门整体支出绩效评价指标时必须考虑的共性要素，可根据部门实际并结合部门整体支出绩效目标设立情况有选择的进行设置，并将其细化为相应的个性化指标。</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5</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743"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rPr>
                <w:rFonts w:ascii="Times New Roman" w:hAnsi="Times New Roman" w:eastAsia="仿宋" w:cs="Times New Roman"/>
                <w:color w:val="0000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rPr>
                <w:rFonts w:ascii="Times New Roman" w:hAnsi="Times New Roman" w:eastAsia="仿宋" w:cs="Times New Roman"/>
                <w:color w:val="000000"/>
                <w:sz w:val="24"/>
                <w:szCs w:val="24"/>
              </w:rPr>
            </w:pP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社会效益</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5</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部门（单位）履行职责对社会发展所带来的直接或间接影响。</w:t>
            </w:r>
          </w:p>
        </w:tc>
        <w:tc>
          <w:tcPr>
            <w:tcW w:w="3237"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rPr>
                <w:rFonts w:ascii="Times New Roman" w:hAnsi="Times New Roman" w:eastAsia="仿宋" w:cs="Times New Roman"/>
                <w:color w:val="000000"/>
                <w:sz w:val="24"/>
                <w:szCs w:val="24"/>
              </w:rPr>
            </w:pP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rPr>
                <w:rFonts w:hint="eastAsia" w:ascii="Times New Roman" w:hAnsi="Times New Roman" w:eastAsia="仿宋" w:cs="Times New Roman"/>
                <w:color w:val="000000"/>
                <w:sz w:val="24"/>
                <w:szCs w:val="24"/>
                <w:lang w:val="en-US" w:eastAsia="zh-CN"/>
              </w:rPr>
            </w:pPr>
            <w:r>
              <w:rPr>
                <w:rFonts w:hint="eastAsia" w:ascii="Times New Roman" w:hAnsi="Times New Roman" w:eastAsia="仿宋" w:cs="Times New Roman"/>
                <w:color w:val="000000"/>
                <w:sz w:val="24"/>
                <w:szCs w:val="24"/>
                <w:lang w:val="en-US" w:eastAsia="zh-CN"/>
              </w:rPr>
              <w:t>5</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755"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rPr>
                <w:rFonts w:ascii="Times New Roman" w:hAnsi="Times New Roman" w:eastAsia="仿宋" w:cs="Times New Roman"/>
                <w:color w:val="0000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rPr>
                <w:rFonts w:ascii="Times New Roman" w:hAnsi="Times New Roman" w:eastAsia="仿宋" w:cs="Times New Roman"/>
                <w:color w:val="000000"/>
                <w:sz w:val="24"/>
                <w:szCs w:val="24"/>
              </w:rPr>
            </w:pP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生态效益</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5</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部门（单位）履行职责对生态环境所带来的直接或间接影响。</w:t>
            </w:r>
          </w:p>
        </w:tc>
        <w:tc>
          <w:tcPr>
            <w:tcW w:w="3237"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rPr>
                <w:rFonts w:ascii="Times New Roman" w:hAnsi="Times New Roman" w:eastAsia="仿宋" w:cs="Times New Roman"/>
                <w:color w:val="000000"/>
                <w:sz w:val="24"/>
                <w:szCs w:val="24"/>
              </w:rPr>
            </w:pP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rPr>
                <w:rFonts w:hint="default" w:ascii="Times New Roman" w:hAnsi="Times New Roman" w:eastAsia="仿宋" w:cs="Times New Roman"/>
                <w:color w:val="000000"/>
                <w:sz w:val="24"/>
                <w:szCs w:val="24"/>
                <w:lang w:val="en-US" w:eastAsia="zh-CN"/>
              </w:rPr>
            </w:pPr>
            <w:r>
              <w:rPr>
                <w:rFonts w:hint="eastAsia" w:ascii="Times New Roman" w:hAnsi="Times New Roman" w:eastAsia="仿宋" w:cs="Times New Roman"/>
                <w:color w:val="000000"/>
                <w:sz w:val="24"/>
                <w:szCs w:val="24"/>
                <w:lang w:val="en-US" w:eastAsia="zh-CN"/>
              </w:rPr>
              <w:t>4</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1093"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rPr>
                <w:rFonts w:ascii="Times New Roman" w:hAnsi="Times New Roman" w:eastAsia="仿宋" w:cs="Times New Roman"/>
                <w:color w:val="0000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rPr>
                <w:rFonts w:ascii="Times New Roman" w:hAnsi="Times New Roman" w:eastAsia="仿宋" w:cs="Times New Roman"/>
                <w:color w:val="000000"/>
                <w:sz w:val="24"/>
                <w:szCs w:val="24"/>
              </w:rPr>
            </w:pP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行政效能</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5</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政府对机关工作实施情况的具体评价，以年度政府考核结果为依据。</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优秀计5分，良好计3分，合格计1分，不合格计0分。</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1"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b/>
                <w:bCs/>
                <w:color w:val="000000"/>
                <w:kern w:val="0"/>
                <w:sz w:val="24"/>
                <w:szCs w:val="24"/>
                <w:lang w:val="en-US" w:eastAsia="zh-CN" w:bidi="ar"/>
              </w:rPr>
              <w:t>3</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PrEx>
        <w:trPr>
          <w:trHeight w:val="2005" w:hRule="atLeast"/>
          <w:jc w:val="center"/>
        </w:trPr>
        <w:tc>
          <w:tcPr>
            <w:tcW w:w="561"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textDirection w:val="tbRlV"/>
            <w:vAlign w:val="center"/>
          </w:tcPr>
          <w:p>
            <w:pPr>
              <w:widowControl/>
              <w:spacing w:line="300" w:lineRule="exact"/>
              <w:jc w:val="center"/>
              <w:rPr>
                <w:rFonts w:ascii="Times New Roman" w:hAnsi="Times New Roman" w:eastAsia="仿宋" w:cs="Times New Roman"/>
                <w:color w:val="000000"/>
                <w:sz w:val="24"/>
                <w:szCs w:val="24"/>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rPr>
                <w:rFonts w:ascii="Times New Roman" w:hAnsi="Times New Roman" w:eastAsia="仿宋" w:cs="Times New Roman"/>
                <w:color w:val="000000"/>
                <w:sz w:val="24"/>
                <w:szCs w:val="24"/>
              </w:rPr>
            </w:pPr>
          </w:p>
        </w:tc>
        <w:tc>
          <w:tcPr>
            <w:tcW w:w="65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社会公众或服务对象满意度</w:t>
            </w: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5</w:t>
            </w:r>
          </w:p>
        </w:tc>
        <w:tc>
          <w:tcPr>
            <w:tcW w:w="3373"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hint="eastAsia" w:ascii="Times New Roman" w:hAnsi="Times New Roman" w:eastAsia="仿宋" w:cs="Times New Roman"/>
                <w:color w:val="000000"/>
                <w:kern w:val="0"/>
                <w:sz w:val="24"/>
                <w:szCs w:val="24"/>
                <w:lang w:eastAsia="zh-CN" w:bidi="ar"/>
              </w:rPr>
            </w:pPr>
            <w:r>
              <w:rPr>
                <w:rFonts w:ascii="Times New Roman" w:hAnsi="Times New Roman" w:eastAsia="仿宋" w:cs="Times New Roman"/>
                <w:color w:val="000000"/>
                <w:kern w:val="0"/>
                <w:sz w:val="24"/>
                <w:szCs w:val="24"/>
                <w:lang w:bidi="ar"/>
              </w:rPr>
              <w:t>社会公众或部门（单位）的服务对象对部门履职效果的满意程度。</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社会公众或服务对象是指部门（单位）履行职责而影响到的部门、群体或个人。</w:t>
            </w:r>
          </w:p>
        </w:tc>
        <w:tc>
          <w:tcPr>
            <w:tcW w:w="3237"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ascii="Times New Roman" w:hAnsi="Times New Roman" w:eastAsia="仿宋" w:cs="Times New Roman"/>
                <w:color w:val="000000"/>
                <w:kern w:val="0"/>
                <w:sz w:val="24"/>
                <w:szCs w:val="24"/>
                <w:lang w:bidi="ar"/>
              </w:rPr>
            </w:pPr>
            <w:r>
              <w:rPr>
                <w:rFonts w:ascii="Times New Roman" w:hAnsi="Times New Roman" w:eastAsia="仿宋" w:cs="Times New Roman"/>
                <w:color w:val="000000"/>
                <w:kern w:val="0"/>
                <w:sz w:val="24"/>
                <w:szCs w:val="24"/>
                <w:lang w:bidi="ar"/>
              </w:rPr>
              <w:t>≥90%，得5分；</w:t>
            </w:r>
          </w:p>
          <w:p>
            <w:pPr>
              <w:widowControl/>
              <w:spacing w:line="300" w:lineRule="exact"/>
              <w:ind w:firstLine="240" w:firstLineChars="100"/>
              <w:jc w:val="left"/>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每降低1%，扣0.5分，扣完为止。</w:t>
            </w:r>
          </w:p>
        </w:tc>
        <w:tc>
          <w:tcPr>
            <w:tcW w:w="96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ind w:firstLine="240" w:firstLineChars="100"/>
              <w:jc w:val="left"/>
              <w:textAlignment w:val="center"/>
              <w:rPr>
                <w:rFonts w:hint="eastAsia" w:ascii="Times New Roman" w:hAnsi="Times New Roman" w:eastAsia="仿宋" w:cs="Times New Roman"/>
                <w:color w:val="000000"/>
                <w:kern w:val="0"/>
                <w:sz w:val="24"/>
                <w:szCs w:val="24"/>
                <w:lang w:val="en-US" w:eastAsia="zh-CN" w:bidi="ar"/>
              </w:rPr>
            </w:pPr>
            <w:r>
              <w:rPr>
                <w:rFonts w:hint="eastAsia" w:ascii="Times New Roman" w:hAnsi="Times New Roman" w:eastAsia="仿宋" w:cs="Times New Roman"/>
                <w:color w:val="000000"/>
                <w:kern w:val="0"/>
                <w:sz w:val="24"/>
                <w:szCs w:val="24"/>
                <w:lang w:val="en-US" w:eastAsia="zh-CN" w:bidi="ar"/>
              </w:rPr>
              <w:t>5</w:t>
            </w:r>
          </w:p>
        </w:tc>
      </w:tr>
      <w:tr>
        <w:tblPrEx>
          <w:tblBorders>
            <w:top w:val="none" w:color="auto" w:sz="0" w:space="0"/>
            <w:left w:val="none" w:color="auto" w:sz="0" w:space="0"/>
            <w:bottom w:val="single" w:color="000000" w:sz="4" w:space="0"/>
            <w:right w:val="none" w:color="auto" w:sz="0" w:space="0"/>
            <w:insideH w:val="none" w:color="auto" w:sz="0" w:space="0"/>
            <w:insideV w:val="single" w:color="000000" w:sz="4" w:space="0"/>
          </w:tblBorders>
          <w:tblCellMar>
            <w:top w:w="0" w:type="dxa"/>
            <w:left w:w="0" w:type="dxa"/>
            <w:bottom w:w="0" w:type="dxa"/>
            <w:right w:w="0" w:type="dxa"/>
          </w:tblCellMar>
        </w:tblPrEx>
        <w:trPr>
          <w:trHeight w:val="565" w:hRule="atLeast"/>
          <w:jc w:val="center"/>
        </w:trPr>
        <w:tc>
          <w:tcPr>
            <w:tcW w:w="1146" w:type="dxa"/>
            <w:gridSpan w:val="2"/>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sz w:val="24"/>
                <w:szCs w:val="24"/>
                <w:lang w:bidi="ar"/>
              </w:rPr>
              <w:t>合计</w:t>
            </w:r>
          </w:p>
        </w:tc>
        <w:tc>
          <w:tcPr>
            <w:tcW w:w="65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pPr>
              <w:widowControl/>
              <w:spacing w:line="300" w:lineRule="exact"/>
              <w:jc w:val="center"/>
              <w:rPr>
                <w:rFonts w:ascii="Times New Roman" w:hAnsi="Times New Roman" w:eastAsia="仿宋" w:cs="Times New Roman"/>
                <w:color w:val="000000"/>
                <w:sz w:val="24"/>
                <w:szCs w:val="24"/>
              </w:rPr>
            </w:pPr>
          </w:p>
        </w:tc>
        <w:tc>
          <w:tcPr>
            <w:tcW w:w="36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00" w:lineRule="exact"/>
              <w:jc w:val="center"/>
              <w:textAlignment w:val="center"/>
              <w:rPr>
                <w:rFonts w:ascii="Times New Roman" w:hAnsi="Times New Roman" w:eastAsia="仿宋" w:cs="Times New Roman"/>
                <w:color w:val="000000"/>
                <w:sz w:val="24"/>
                <w:szCs w:val="24"/>
              </w:rPr>
            </w:pPr>
            <w:r>
              <w:rPr>
                <w:rFonts w:ascii="Times New Roman" w:hAnsi="Times New Roman" w:eastAsia="仿宋" w:cs="Times New Roman"/>
                <w:color w:val="000000"/>
                <w:kern w:val="0"/>
                <w:lang w:bidi="ar"/>
              </w:rPr>
              <w:t>100</w:t>
            </w:r>
          </w:p>
        </w:tc>
        <w:tc>
          <w:tcPr>
            <w:tcW w:w="337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pPr>
              <w:widowControl/>
              <w:spacing w:line="300" w:lineRule="exact"/>
              <w:rPr>
                <w:rFonts w:ascii="Times New Roman" w:hAnsi="Times New Roman" w:eastAsia="仿宋" w:cs="Times New Roman"/>
                <w:color w:val="000000"/>
                <w:sz w:val="24"/>
                <w:szCs w:val="24"/>
              </w:rPr>
            </w:pPr>
          </w:p>
        </w:tc>
        <w:tc>
          <w:tcPr>
            <w:tcW w:w="323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pPr>
              <w:widowControl/>
              <w:spacing w:line="300" w:lineRule="exact"/>
              <w:ind w:firstLine="240" w:firstLineChars="100"/>
              <w:rPr>
                <w:rFonts w:ascii="Times New Roman" w:hAnsi="Times New Roman" w:eastAsia="仿宋" w:cs="Times New Roman"/>
                <w:color w:val="000000"/>
                <w:sz w:val="24"/>
                <w:szCs w:val="24"/>
              </w:rPr>
            </w:pPr>
          </w:p>
        </w:tc>
        <w:tc>
          <w:tcPr>
            <w:tcW w:w="969"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pPr>
              <w:widowControl/>
              <w:spacing w:line="300" w:lineRule="exact"/>
              <w:ind w:firstLine="240" w:firstLineChars="100"/>
              <w:rPr>
                <w:rFonts w:hint="default" w:ascii="Times New Roman" w:hAnsi="Times New Roman" w:eastAsia="仿宋" w:cs="Times New Roman"/>
                <w:color w:val="000000"/>
                <w:sz w:val="24"/>
                <w:szCs w:val="24"/>
                <w:lang w:val="en-US" w:eastAsia="zh-CN"/>
              </w:rPr>
            </w:pPr>
            <w:r>
              <w:rPr>
                <w:rFonts w:hint="eastAsia" w:ascii="Times New Roman" w:hAnsi="Times New Roman" w:eastAsia="仿宋" w:cs="Times New Roman"/>
                <w:color w:val="000000"/>
                <w:sz w:val="24"/>
                <w:szCs w:val="24"/>
                <w:lang w:val="en-US" w:eastAsia="zh-CN"/>
              </w:rPr>
              <w:t>92.5</w:t>
            </w:r>
          </w:p>
        </w:tc>
      </w:tr>
    </w:tbl>
    <w:p>
      <w:pPr>
        <w:spacing w:line="560" w:lineRule="exact"/>
        <w:jc w:val="center"/>
        <w:rPr>
          <w:rFonts w:ascii="Times New Roman" w:hAnsi="Times New Roman" w:eastAsia="黑体" w:cs="Times New Roman"/>
          <w:kern w:val="0"/>
          <w:sz w:val="32"/>
          <w:szCs w:val="32"/>
        </w:rPr>
      </w:pPr>
      <w:r>
        <w:rPr>
          <w:rFonts w:ascii="Times New Roman" w:hAnsi="Times New Roman" w:eastAsia="黑体" w:cs="Times New Roman"/>
          <w:sz w:val="28"/>
          <w:szCs w:val="28"/>
        </w:rPr>
        <w:br w:type="page"/>
      </w:r>
      <w:r>
        <w:rPr>
          <w:rFonts w:ascii="Times New Roman" w:hAnsi="Times New Roman" w:eastAsia="方正小标宋_GBK" w:cs="Times New Roman"/>
          <w:kern w:val="0"/>
          <w:sz w:val="36"/>
          <w:szCs w:val="36"/>
        </w:rPr>
        <w:t>部门整体支出绩效评价基础数据表</w:t>
      </w:r>
    </w:p>
    <w:p>
      <w:pPr>
        <w:widowControl/>
        <w:tabs>
          <w:tab w:val="left" w:pos="3611"/>
          <w:tab w:val="left" w:pos="4791"/>
          <w:tab w:val="left" w:pos="5951"/>
          <w:tab w:val="left" w:pos="7071"/>
          <w:tab w:val="left" w:pos="8191"/>
          <w:tab w:val="left" w:pos="9311"/>
        </w:tabs>
        <w:ind w:left="91"/>
        <w:jc w:val="left"/>
        <w:rPr>
          <w:rFonts w:ascii="Times New Roman" w:hAnsi="Times New Roman" w:eastAsia="仿宋_GB2312" w:cs="Times New Roman"/>
          <w:kern w:val="0"/>
          <w:sz w:val="24"/>
          <w:szCs w:val="24"/>
        </w:rPr>
      </w:pPr>
      <w:r>
        <w:rPr>
          <w:rFonts w:ascii="Times New Roman" w:hAnsi="Times New Roman" w:eastAsia="仿宋" w:cs="Times New Roman"/>
          <w:kern w:val="0"/>
          <w:sz w:val="24"/>
          <w:szCs w:val="24"/>
        </w:rPr>
        <w:t>填报单位：</w:t>
      </w:r>
      <w:r>
        <w:rPr>
          <w:rFonts w:hint="eastAsia" w:ascii="Times New Roman" w:hAnsi="Times New Roman" w:eastAsia="仿宋" w:cs="Times New Roman"/>
          <w:kern w:val="0"/>
          <w:sz w:val="24"/>
          <w:szCs w:val="24"/>
          <w:lang w:val="en-US" w:eastAsia="zh-CN"/>
        </w:rPr>
        <w:t>区农经站</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ab/>
      </w:r>
    </w:p>
    <w:tbl>
      <w:tblPr>
        <w:tblStyle w:val="3"/>
        <w:tblW w:w="9907" w:type="dxa"/>
        <w:jc w:val="center"/>
        <w:tblLayout w:type="fixed"/>
        <w:tblCellMar>
          <w:top w:w="0" w:type="dxa"/>
          <w:left w:w="108" w:type="dxa"/>
          <w:bottom w:w="0" w:type="dxa"/>
          <w:right w:w="108" w:type="dxa"/>
        </w:tblCellMar>
      </w:tblPr>
      <w:tblGrid>
        <w:gridCol w:w="3322"/>
        <w:gridCol w:w="1106"/>
        <w:gridCol w:w="750"/>
        <w:gridCol w:w="934"/>
        <w:gridCol w:w="1050"/>
        <w:gridCol w:w="1009"/>
        <w:gridCol w:w="1736"/>
      </w:tblGrid>
      <w:tr>
        <w:tblPrEx>
          <w:tblCellMar>
            <w:top w:w="0" w:type="dxa"/>
            <w:left w:w="108" w:type="dxa"/>
            <w:bottom w:w="0" w:type="dxa"/>
            <w:right w:w="108" w:type="dxa"/>
          </w:tblCellMar>
        </w:tblPrEx>
        <w:trPr>
          <w:trHeight w:val="417" w:hRule="atLeast"/>
          <w:jc w:val="center"/>
        </w:trPr>
        <w:tc>
          <w:tcPr>
            <w:tcW w:w="3322"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财政供养人员情况</w:t>
            </w:r>
          </w:p>
        </w:tc>
        <w:tc>
          <w:tcPr>
            <w:tcW w:w="1856" w:type="dxa"/>
            <w:gridSpan w:val="2"/>
            <w:tcBorders>
              <w:top w:val="single" w:color="auto" w:sz="4" w:space="0"/>
              <w:left w:val="nil"/>
              <w:bottom w:val="single" w:color="auto" w:sz="4" w:space="0"/>
              <w:right w:val="single" w:color="auto" w:sz="4" w:space="0"/>
            </w:tcBorders>
            <w:noWrap w:val="0"/>
            <w:vAlign w:val="center"/>
          </w:tcPr>
          <w:p>
            <w:pPr>
              <w:widowControl/>
              <w:jc w:val="center"/>
              <w:rPr>
                <w:rFonts w:ascii="Times New Roman" w:hAnsi="Times New Roman" w:eastAsia="仿宋" w:cs="Times New Roman"/>
                <w:bCs/>
                <w:kern w:val="0"/>
                <w:sz w:val="24"/>
                <w:szCs w:val="24"/>
              </w:rPr>
            </w:pPr>
            <w:r>
              <w:rPr>
                <w:rFonts w:ascii="Times New Roman" w:hAnsi="Times New Roman" w:eastAsia="仿宋" w:cs="Times New Roman"/>
                <w:bCs/>
                <w:kern w:val="0"/>
                <w:sz w:val="24"/>
                <w:szCs w:val="24"/>
              </w:rPr>
              <w:t>编制数</w:t>
            </w:r>
          </w:p>
        </w:tc>
        <w:tc>
          <w:tcPr>
            <w:tcW w:w="1984" w:type="dxa"/>
            <w:gridSpan w:val="2"/>
            <w:tcBorders>
              <w:top w:val="single" w:color="auto" w:sz="4" w:space="0"/>
              <w:left w:val="nil"/>
              <w:bottom w:val="single" w:color="auto" w:sz="4" w:space="0"/>
              <w:right w:val="single" w:color="auto" w:sz="4" w:space="0"/>
            </w:tcBorders>
            <w:noWrap w:val="0"/>
            <w:vAlign w:val="center"/>
          </w:tcPr>
          <w:p>
            <w:pPr>
              <w:widowControl/>
              <w:jc w:val="center"/>
              <w:rPr>
                <w:rFonts w:ascii="Times New Roman" w:hAnsi="Times New Roman" w:eastAsia="仿宋" w:cs="Times New Roman"/>
                <w:bCs/>
                <w:kern w:val="0"/>
                <w:sz w:val="24"/>
                <w:szCs w:val="24"/>
              </w:rPr>
            </w:pPr>
            <w:r>
              <w:rPr>
                <w:rFonts w:hint="eastAsia" w:ascii="Times New Roman" w:hAnsi="Times New Roman" w:eastAsia="仿宋" w:cs="Times New Roman"/>
                <w:bCs/>
                <w:kern w:val="0"/>
                <w:sz w:val="24"/>
                <w:szCs w:val="24"/>
                <w:lang w:eastAsia="zh-CN"/>
              </w:rPr>
              <w:t>2021</w:t>
            </w:r>
            <w:r>
              <w:rPr>
                <w:rFonts w:ascii="Times New Roman" w:hAnsi="Times New Roman" w:eastAsia="仿宋" w:cs="Times New Roman"/>
                <w:bCs/>
                <w:kern w:val="0"/>
                <w:sz w:val="24"/>
                <w:szCs w:val="24"/>
              </w:rPr>
              <w:t>年实际</w:t>
            </w:r>
          </w:p>
          <w:p>
            <w:pPr>
              <w:widowControl/>
              <w:jc w:val="center"/>
              <w:rPr>
                <w:rFonts w:ascii="Times New Roman" w:hAnsi="Times New Roman" w:eastAsia="仿宋" w:cs="Times New Roman"/>
                <w:bCs/>
                <w:kern w:val="0"/>
                <w:sz w:val="24"/>
                <w:szCs w:val="24"/>
              </w:rPr>
            </w:pPr>
            <w:r>
              <w:rPr>
                <w:rFonts w:ascii="Times New Roman" w:hAnsi="Times New Roman" w:eastAsia="仿宋" w:cs="Times New Roman"/>
                <w:bCs/>
                <w:kern w:val="0"/>
                <w:sz w:val="24"/>
                <w:szCs w:val="24"/>
              </w:rPr>
              <w:t>在职人数</w:t>
            </w:r>
          </w:p>
        </w:tc>
        <w:tc>
          <w:tcPr>
            <w:tcW w:w="2745" w:type="dxa"/>
            <w:gridSpan w:val="2"/>
            <w:tcBorders>
              <w:top w:val="single" w:color="auto" w:sz="4" w:space="0"/>
              <w:left w:val="nil"/>
              <w:bottom w:val="single" w:color="auto" w:sz="4" w:space="0"/>
              <w:right w:val="single" w:color="auto" w:sz="4" w:space="0"/>
            </w:tcBorders>
            <w:noWrap w:val="0"/>
            <w:vAlign w:val="center"/>
          </w:tcPr>
          <w:p>
            <w:pPr>
              <w:widowControl/>
              <w:jc w:val="center"/>
              <w:rPr>
                <w:rFonts w:ascii="Times New Roman" w:hAnsi="Times New Roman" w:eastAsia="仿宋" w:cs="Times New Roman"/>
                <w:bCs/>
                <w:kern w:val="0"/>
                <w:sz w:val="24"/>
                <w:szCs w:val="24"/>
              </w:rPr>
            </w:pPr>
            <w:r>
              <w:rPr>
                <w:rFonts w:ascii="Times New Roman" w:hAnsi="Times New Roman" w:eastAsia="仿宋" w:cs="Times New Roman"/>
                <w:bCs/>
                <w:kern w:val="0"/>
                <w:sz w:val="24"/>
                <w:szCs w:val="24"/>
              </w:rPr>
              <w:t>控制率</w:t>
            </w:r>
          </w:p>
        </w:tc>
      </w:tr>
      <w:tr>
        <w:tblPrEx>
          <w:tblCellMar>
            <w:top w:w="0" w:type="dxa"/>
            <w:left w:w="108" w:type="dxa"/>
            <w:bottom w:w="0" w:type="dxa"/>
            <w:right w:w="108" w:type="dxa"/>
          </w:tblCellMar>
        </w:tblPrEx>
        <w:trPr>
          <w:trHeight w:val="177" w:hRule="atLeast"/>
          <w:jc w:val="center"/>
        </w:trPr>
        <w:tc>
          <w:tcPr>
            <w:tcW w:w="332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Times New Roman" w:hAnsi="Times New Roman" w:eastAsia="仿宋" w:cs="Times New Roman"/>
                <w:kern w:val="0"/>
                <w:sz w:val="24"/>
                <w:szCs w:val="24"/>
              </w:rPr>
            </w:pPr>
          </w:p>
        </w:tc>
        <w:tc>
          <w:tcPr>
            <w:tcW w:w="1856" w:type="dxa"/>
            <w:gridSpan w:val="2"/>
            <w:tcBorders>
              <w:top w:val="single" w:color="auto" w:sz="4" w:space="0"/>
              <w:left w:val="nil"/>
              <w:bottom w:val="single" w:color="auto" w:sz="4" w:space="0"/>
              <w:right w:val="single" w:color="auto" w:sz="4" w:space="0"/>
            </w:tcBorders>
            <w:noWrap w:val="0"/>
            <w:vAlign w:val="center"/>
          </w:tcPr>
          <w:p>
            <w:pPr>
              <w:widowControl/>
              <w:jc w:val="center"/>
              <w:rPr>
                <w:rFonts w:hint="default" w:ascii="Times New Roman" w:hAnsi="Times New Roman" w:eastAsia="仿宋" w:cs="Times New Roman"/>
                <w:kern w:val="0"/>
                <w:sz w:val="24"/>
                <w:szCs w:val="24"/>
                <w:lang w:val="en-US" w:eastAsia="zh-CN"/>
              </w:rPr>
            </w:pPr>
            <w:r>
              <w:rPr>
                <w:rFonts w:ascii="Times New Roman" w:hAnsi="Times New Roman" w:eastAsia="仿宋" w:cs="Times New Roman"/>
                <w:kern w:val="0"/>
                <w:sz w:val="24"/>
                <w:szCs w:val="24"/>
              </w:rPr>
              <w:t>　</w:t>
            </w:r>
            <w:r>
              <w:rPr>
                <w:rFonts w:hint="eastAsia" w:ascii="Times New Roman" w:hAnsi="Times New Roman" w:eastAsia="仿宋" w:cs="Times New Roman"/>
                <w:kern w:val="0"/>
                <w:sz w:val="24"/>
                <w:szCs w:val="24"/>
                <w:lang w:val="en-US" w:eastAsia="zh-CN"/>
              </w:rPr>
              <w:t>18</w:t>
            </w:r>
          </w:p>
        </w:tc>
        <w:tc>
          <w:tcPr>
            <w:tcW w:w="1984" w:type="dxa"/>
            <w:gridSpan w:val="2"/>
            <w:tcBorders>
              <w:top w:val="single" w:color="auto" w:sz="4" w:space="0"/>
              <w:left w:val="nil"/>
              <w:bottom w:val="single" w:color="auto" w:sz="4" w:space="0"/>
              <w:right w:val="single" w:color="auto" w:sz="4" w:space="0"/>
            </w:tcBorders>
            <w:noWrap w:val="0"/>
            <w:vAlign w:val="center"/>
          </w:tcPr>
          <w:p>
            <w:pPr>
              <w:widowControl/>
              <w:jc w:val="center"/>
              <w:rPr>
                <w:rFonts w:ascii="Times New Roman" w:hAnsi="Times New Roman" w:eastAsia="仿宋" w:cs="Times New Roman"/>
                <w:kern w:val="0"/>
                <w:sz w:val="24"/>
                <w:szCs w:val="24"/>
              </w:rPr>
            </w:pPr>
            <w:r>
              <w:rPr>
                <w:rFonts w:hint="eastAsia" w:ascii="Times New Roman" w:hAnsi="Times New Roman" w:eastAsia="仿宋" w:cs="Times New Roman"/>
                <w:kern w:val="0"/>
                <w:sz w:val="24"/>
                <w:szCs w:val="24"/>
                <w:lang w:val="en-US" w:eastAsia="zh-CN"/>
              </w:rPr>
              <w:t>19</w:t>
            </w:r>
            <w:r>
              <w:rPr>
                <w:rFonts w:ascii="Times New Roman" w:hAnsi="Times New Roman" w:eastAsia="仿宋" w:cs="Times New Roman"/>
                <w:kern w:val="0"/>
                <w:sz w:val="24"/>
                <w:szCs w:val="24"/>
              </w:rPr>
              <w:t>　</w:t>
            </w:r>
          </w:p>
        </w:tc>
        <w:tc>
          <w:tcPr>
            <w:tcW w:w="2745" w:type="dxa"/>
            <w:gridSpan w:val="2"/>
            <w:tcBorders>
              <w:top w:val="single" w:color="auto" w:sz="4" w:space="0"/>
              <w:left w:val="nil"/>
              <w:bottom w:val="single" w:color="auto" w:sz="4" w:space="0"/>
              <w:right w:val="single" w:color="auto" w:sz="4" w:space="0"/>
            </w:tcBorders>
            <w:noWrap w:val="0"/>
            <w:vAlign w:val="center"/>
          </w:tcPr>
          <w:p>
            <w:pPr>
              <w:widowControl/>
              <w:jc w:val="center"/>
              <w:rPr>
                <w:rFonts w:ascii="Times New Roman" w:hAnsi="Times New Roman" w:eastAsia="仿宋" w:cs="Times New Roman"/>
                <w:kern w:val="0"/>
                <w:sz w:val="24"/>
                <w:szCs w:val="24"/>
              </w:rPr>
            </w:pPr>
            <w:r>
              <w:rPr>
                <w:rFonts w:hint="eastAsia" w:ascii="Times New Roman" w:hAnsi="Times New Roman" w:eastAsia="仿宋" w:cs="Times New Roman"/>
                <w:kern w:val="0"/>
                <w:sz w:val="24"/>
                <w:szCs w:val="24"/>
                <w:lang w:val="en-US" w:eastAsia="zh-CN"/>
              </w:rPr>
              <w:t>106%</w:t>
            </w:r>
            <w:r>
              <w:rPr>
                <w:rFonts w:ascii="Times New Roman" w:hAnsi="Times New Roman" w:eastAsia="仿宋" w:cs="Times New Roman"/>
                <w:kern w:val="0"/>
                <w:sz w:val="24"/>
                <w:szCs w:val="24"/>
              </w:rPr>
              <w:t>　</w:t>
            </w:r>
          </w:p>
        </w:tc>
      </w:tr>
      <w:tr>
        <w:tblPrEx>
          <w:tblCellMar>
            <w:top w:w="0" w:type="dxa"/>
            <w:left w:w="108" w:type="dxa"/>
            <w:bottom w:w="0" w:type="dxa"/>
            <w:right w:w="108" w:type="dxa"/>
          </w:tblCellMar>
        </w:tblPrEx>
        <w:trPr>
          <w:trHeight w:val="37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黑体" w:hAnsi="黑体" w:eastAsia="黑体" w:cs="黑体"/>
                <w:kern w:val="0"/>
                <w:sz w:val="24"/>
                <w:szCs w:val="24"/>
              </w:rPr>
            </w:pPr>
            <w:r>
              <w:rPr>
                <w:rFonts w:hint="eastAsia" w:ascii="黑体" w:hAnsi="黑体" w:eastAsia="黑体" w:cs="黑体"/>
                <w:kern w:val="0"/>
                <w:sz w:val="24"/>
                <w:szCs w:val="24"/>
              </w:rPr>
              <w:t>经费控制情况</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eastAsia" w:ascii="黑体" w:hAnsi="黑体" w:eastAsia="黑体" w:cs="黑体"/>
                <w:bCs/>
                <w:kern w:val="0"/>
                <w:sz w:val="24"/>
                <w:szCs w:val="24"/>
              </w:rPr>
            </w:pPr>
            <w:r>
              <w:rPr>
                <w:rFonts w:hint="eastAsia" w:ascii="黑体" w:hAnsi="黑体" w:eastAsia="黑体" w:cs="黑体"/>
                <w:bCs/>
                <w:kern w:val="0"/>
                <w:sz w:val="24"/>
                <w:szCs w:val="24"/>
                <w:lang w:eastAsia="zh-CN"/>
              </w:rPr>
              <w:t>202</w:t>
            </w:r>
            <w:r>
              <w:rPr>
                <w:rFonts w:hint="eastAsia" w:ascii="黑体" w:hAnsi="黑体" w:eastAsia="黑体" w:cs="黑体"/>
                <w:bCs/>
                <w:kern w:val="0"/>
                <w:sz w:val="24"/>
                <w:szCs w:val="24"/>
                <w:lang w:val="en-US" w:eastAsia="zh-CN"/>
              </w:rPr>
              <w:t>0</w:t>
            </w:r>
            <w:r>
              <w:rPr>
                <w:rFonts w:hint="eastAsia" w:ascii="黑体" w:hAnsi="黑体" w:eastAsia="黑体" w:cs="黑体"/>
                <w:bCs/>
                <w:kern w:val="0"/>
                <w:sz w:val="24"/>
                <w:szCs w:val="24"/>
              </w:rPr>
              <w:t>年决算数</w:t>
            </w: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eastAsia" w:ascii="黑体" w:hAnsi="黑体" w:eastAsia="黑体" w:cs="黑体"/>
                <w:bCs/>
                <w:kern w:val="0"/>
                <w:sz w:val="24"/>
                <w:szCs w:val="24"/>
              </w:rPr>
            </w:pPr>
            <w:r>
              <w:rPr>
                <w:rFonts w:hint="eastAsia" w:ascii="黑体" w:hAnsi="黑体" w:eastAsia="黑体" w:cs="黑体"/>
                <w:bCs/>
                <w:kern w:val="0"/>
                <w:sz w:val="24"/>
                <w:szCs w:val="24"/>
                <w:lang w:eastAsia="zh-CN"/>
              </w:rPr>
              <w:t>2021</w:t>
            </w:r>
            <w:r>
              <w:rPr>
                <w:rFonts w:hint="eastAsia" w:ascii="黑体" w:hAnsi="黑体" w:eastAsia="黑体" w:cs="黑体"/>
                <w:bCs/>
                <w:kern w:val="0"/>
                <w:sz w:val="24"/>
                <w:szCs w:val="24"/>
              </w:rPr>
              <w:t>年预算数</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eastAsia" w:ascii="黑体" w:hAnsi="黑体" w:eastAsia="黑体" w:cs="黑体"/>
                <w:bCs/>
                <w:kern w:val="0"/>
                <w:sz w:val="24"/>
                <w:szCs w:val="24"/>
              </w:rPr>
            </w:pPr>
            <w:r>
              <w:rPr>
                <w:rFonts w:hint="eastAsia" w:ascii="黑体" w:hAnsi="黑体" w:eastAsia="黑体" w:cs="黑体"/>
                <w:bCs/>
                <w:kern w:val="0"/>
                <w:sz w:val="24"/>
                <w:szCs w:val="24"/>
                <w:lang w:eastAsia="zh-CN"/>
              </w:rPr>
              <w:t>2021</w:t>
            </w:r>
            <w:r>
              <w:rPr>
                <w:rFonts w:hint="eastAsia" w:ascii="黑体" w:hAnsi="黑体" w:eastAsia="黑体" w:cs="黑体"/>
                <w:bCs/>
                <w:kern w:val="0"/>
                <w:sz w:val="24"/>
                <w:szCs w:val="24"/>
              </w:rPr>
              <w:t>年决算数</w:t>
            </w:r>
          </w:p>
        </w:tc>
      </w:tr>
      <w:tr>
        <w:tblPrEx>
          <w:tblCellMar>
            <w:top w:w="0" w:type="dxa"/>
            <w:left w:w="108" w:type="dxa"/>
            <w:bottom w:w="0" w:type="dxa"/>
            <w:right w:w="108" w:type="dxa"/>
          </w:tblCellMar>
        </w:tblPrEx>
        <w:trPr>
          <w:trHeight w:val="37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left"/>
              <w:rPr>
                <w:rFonts w:ascii="Times New Roman" w:hAnsi="Times New Roman" w:eastAsia="仿宋" w:cs="Times New Roman"/>
                <w:kern w:val="0"/>
                <w:sz w:val="24"/>
                <w:szCs w:val="24"/>
              </w:rPr>
            </w:pPr>
            <w:r>
              <w:rPr>
                <w:rFonts w:ascii="Times New Roman" w:hAnsi="Times New Roman" w:eastAsia="仿宋" w:cs="Times New Roman"/>
                <w:b/>
                <w:bCs/>
                <w:kern w:val="0"/>
                <w:sz w:val="24"/>
                <w:szCs w:val="24"/>
              </w:rPr>
              <w:t>三公经费</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lang w:val="en-US" w:eastAsia="zh-CN"/>
              </w:rPr>
              <w:t>1.21</w:t>
            </w: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rPr>
            </w:pPr>
            <w:r>
              <w:rPr>
                <w:rFonts w:hint="eastAsia" w:ascii="Times New Roman" w:hAnsi="Times New Roman" w:eastAsia="仿宋" w:cs="Times New Roman"/>
                <w:kern w:val="0"/>
                <w:sz w:val="24"/>
                <w:szCs w:val="24"/>
                <w:lang w:val="en-US" w:eastAsia="zh-CN"/>
              </w:rPr>
              <w:t>1</w:t>
            </w:r>
            <w:r>
              <w:rPr>
                <w:rFonts w:ascii="Times New Roman" w:hAnsi="Times New Roman" w:eastAsia="仿宋" w:cs="Times New Roman"/>
                <w:kern w:val="0"/>
                <w:sz w:val="24"/>
                <w:szCs w:val="24"/>
              </w:rPr>
              <w:t>　</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rPr>
            </w:pPr>
            <w:r>
              <w:rPr>
                <w:rFonts w:hint="eastAsia" w:ascii="Times New Roman" w:hAnsi="Times New Roman" w:eastAsia="仿宋" w:cs="Times New Roman"/>
                <w:kern w:val="0"/>
                <w:sz w:val="24"/>
                <w:szCs w:val="24"/>
                <w:lang w:val="en-US" w:eastAsia="zh-CN"/>
              </w:rPr>
              <w:t>2.2</w:t>
            </w:r>
            <w:r>
              <w:rPr>
                <w:rFonts w:ascii="Times New Roman" w:hAnsi="Times New Roman" w:eastAsia="仿宋" w:cs="Times New Roman"/>
                <w:kern w:val="0"/>
                <w:sz w:val="24"/>
                <w:szCs w:val="24"/>
              </w:rPr>
              <w:t>　</w:t>
            </w:r>
          </w:p>
        </w:tc>
      </w:tr>
      <w:tr>
        <w:tblPrEx>
          <w:tblCellMar>
            <w:top w:w="0" w:type="dxa"/>
            <w:left w:w="108" w:type="dxa"/>
            <w:bottom w:w="0" w:type="dxa"/>
            <w:right w:w="108" w:type="dxa"/>
          </w:tblCellMar>
        </w:tblPrEx>
        <w:trPr>
          <w:trHeight w:val="39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 xml:space="preserve">  </w:t>
            </w:r>
            <w:r>
              <w:rPr>
                <w:rFonts w:hint="eastAsia" w:ascii="Times New Roman" w:hAnsi="Times New Roman" w:eastAsia="仿宋" w:cs="Times New Roman"/>
                <w:kern w:val="0"/>
                <w:sz w:val="24"/>
                <w:szCs w:val="24"/>
              </w:rPr>
              <w:t>1.</w:t>
            </w:r>
            <w:r>
              <w:rPr>
                <w:rFonts w:ascii="Times New Roman" w:hAnsi="Times New Roman" w:eastAsia="仿宋" w:cs="Times New Roman"/>
                <w:kern w:val="0"/>
                <w:sz w:val="24"/>
                <w:szCs w:val="24"/>
              </w:rPr>
              <w:t>公务用车购置和维护经费</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rPr>
              <w:t>0</w:t>
            </w:r>
            <w:r>
              <w:rPr>
                <w:rFonts w:ascii="Times New Roman" w:hAnsi="Times New Roman" w:eastAsia="仿宋" w:cs="Times New Roman"/>
                <w:kern w:val="0"/>
                <w:sz w:val="24"/>
                <w:szCs w:val="24"/>
              </w:rPr>
              <w:t>　</w:t>
            </w: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rPr>
              <w:t>0</w:t>
            </w:r>
            <w:r>
              <w:rPr>
                <w:rFonts w:ascii="Times New Roman" w:hAnsi="Times New Roman" w:eastAsia="仿宋" w:cs="Times New Roman"/>
                <w:kern w:val="0"/>
                <w:sz w:val="24"/>
                <w:szCs w:val="24"/>
              </w:rPr>
              <w:t>　</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rPr>
              <w:t>0</w:t>
            </w:r>
            <w:r>
              <w:rPr>
                <w:rFonts w:ascii="Times New Roman" w:hAnsi="Times New Roman" w:eastAsia="仿宋" w:cs="Times New Roman"/>
                <w:kern w:val="0"/>
                <w:sz w:val="24"/>
                <w:szCs w:val="24"/>
              </w:rPr>
              <w:t>　</w:t>
            </w:r>
          </w:p>
        </w:tc>
      </w:tr>
      <w:tr>
        <w:tblPrEx>
          <w:tblCellMar>
            <w:top w:w="0" w:type="dxa"/>
            <w:left w:w="108" w:type="dxa"/>
            <w:bottom w:w="0" w:type="dxa"/>
            <w:right w:w="108" w:type="dxa"/>
          </w:tblCellMar>
        </w:tblPrEx>
        <w:trPr>
          <w:trHeight w:val="37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 xml:space="preserve">       其中：公车购置</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rPr>
              <w:t>0</w:t>
            </w:r>
            <w:r>
              <w:rPr>
                <w:rFonts w:ascii="Times New Roman" w:hAnsi="Times New Roman" w:eastAsia="仿宋" w:cs="Times New Roman"/>
                <w:kern w:val="0"/>
                <w:sz w:val="24"/>
                <w:szCs w:val="24"/>
              </w:rPr>
              <w:t>　</w:t>
            </w: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rPr>
              <w:t>0</w:t>
            </w:r>
            <w:r>
              <w:rPr>
                <w:rFonts w:ascii="Times New Roman" w:hAnsi="Times New Roman" w:eastAsia="仿宋" w:cs="Times New Roman"/>
                <w:kern w:val="0"/>
                <w:sz w:val="24"/>
                <w:szCs w:val="24"/>
              </w:rPr>
              <w:t>　</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rPr>
              <w:t>0</w:t>
            </w:r>
            <w:r>
              <w:rPr>
                <w:rFonts w:ascii="Times New Roman" w:hAnsi="Times New Roman" w:eastAsia="仿宋" w:cs="Times New Roman"/>
                <w:kern w:val="0"/>
                <w:sz w:val="24"/>
                <w:szCs w:val="24"/>
              </w:rPr>
              <w:t>　</w:t>
            </w:r>
          </w:p>
        </w:tc>
      </w:tr>
      <w:tr>
        <w:tblPrEx>
          <w:tblCellMar>
            <w:top w:w="0" w:type="dxa"/>
            <w:left w:w="108" w:type="dxa"/>
            <w:bottom w:w="0" w:type="dxa"/>
            <w:right w:w="108" w:type="dxa"/>
          </w:tblCellMar>
        </w:tblPrEx>
        <w:trPr>
          <w:trHeight w:val="37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 xml:space="preserve">             公车运行维护</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rPr>
              <w:t>0</w:t>
            </w:r>
            <w:r>
              <w:rPr>
                <w:rFonts w:ascii="Times New Roman" w:hAnsi="Times New Roman" w:eastAsia="仿宋" w:cs="Times New Roman"/>
                <w:kern w:val="0"/>
                <w:sz w:val="24"/>
                <w:szCs w:val="24"/>
              </w:rPr>
              <w:t>　</w:t>
            </w: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rPr>
              <w:t>0</w:t>
            </w:r>
            <w:r>
              <w:rPr>
                <w:rFonts w:ascii="Times New Roman" w:hAnsi="Times New Roman" w:eastAsia="仿宋" w:cs="Times New Roman"/>
                <w:kern w:val="0"/>
                <w:sz w:val="24"/>
                <w:szCs w:val="24"/>
              </w:rPr>
              <w:t>　</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rPr>
              <w:t>0</w:t>
            </w:r>
            <w:r>
              <w:rPr>
                <w:rFonts w:ascii="Times New Roman" w:hAnsi="Times New Roman" w:eastAsia="仿宋" w:cs="Times New Roman"/>
                <w:kern w:val="0"/>
                <w:sz w:val="24"/>
                <w:szCs w:val="24"/>
              </w:rPr>
              <w:t>　</w:t>
            </w:r>
          </w:p>
        </w:tc>
      </w:tr>
      <w:tr>
        <w:tblPrEx>
          <w:tblCellMar>
            <w:top w:w="0" w:type="dxa"/>
            <w:left w:w="108" w:type="dxa"/>
            <w:bottom w:w="0" w:type="dxa"/>
            <w:right w:w="108" w:type="dxa"/>
          </w:tblCellMar>
        </w:tblPrEx>
        <w:trPr>
          <w:trHeight w:val="37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 xml:space="preserve">   2</w:t>
            </w:r>
            <w:r>
              <w:rPr>
                <w:rFonts w:hint="eastAsia" w:ascii="Times New Roman" w:hAnsi="Times New Roman" w:eastAsia="仿宋" w:cs="Times New Roman"/>
                <w:kern w:val="0"/>
                <w:sz w:val="24"/>
                <w:szCs w:val="24"/>
              </w:rPr>
              <w:t>.</w:t>
            </w:r>
            <w:r>
              <w:rPr>
                <w:rFonts w:ascii="Times New Roman" w:hAnsi="Times New Roman" w:eastAsia="仿宋" w:cs="Times New Roman"/>
                <w:kern w:val="0"/>
                <w:sz w:val="24"/>
                <w:szCs w:val="24"/>
              </w:rPr>
              <w:t>出国经费</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rPr>
              <w:t>0</w:t>
            </w:r>
            <w:r>
              <w:rPr>
                <w:rFonts w:ascii="Times New Roman" w:hAnsi="Times New Roman" w:eastAsia="仿宋" w:cs="Times New Roman"/>
                <w:kern w:val="0"/>
                <w:sz w:val="24"/>
                <w:szCs w:val="24"/>
              </w:rPr>
              <w:t>　</w:t>
            </w: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rPr>
              <w:t>0</w:t>
            </w:r>
            <w:r>
              <w:rPr>
                <w:rFonts w:ascii="Times New Roman" w:hAnsi="Times New Roman" w:eastAsia="仿宋" w:cs="Times New Roman"/>
                <w:kern w:val="0"/>
                <w:sz w:val="24"/>
                <w:szCs w:val="24"/>
              </w:rPr>
              <w:t>　</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rPr>
              <w:t>0</w:t>
            </w:r>
            <w:r>
              <w:rPr>
                <w:rFonts w:ascii="Times New Roman" w:hAnsi="Times New Roman" w:eastAsia="仿宋" w:cs="Times New Roman"/>
                <w:kern w:val="0"/>
                <w:sz w:val="24"/>
                <w:szCs w:val="24"/>
              </w:rPr>
              <w:t>　</w:t>
            </w:r>
          </w:p>
        </w:tc>
      </w:tr>
      <w:tr>
        <w:tblPrEx>
          <w:tblCellMar>
            <w:top w:w="0" w:type="dxa"/>
            <w:left w:w="108" w:type="dxa"/>
            <w:bottom w:w="0" w:type="dxa"/>
            <w:right w:w="108" w:type="dxa"/>
          </w:tblCellMar>
        </w:tblPrEx>
        <w:trPr>
          <w:trHeight w:val="37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 xml:space="preserve">   3</w:t>
            </w:r>
            <w:r>
              <w:rPr>
                <w:rFonts w:hint="eastAsia" w:ascii="Times New Roman" w:hAnsi="Times New Roman" w:eastAsia="仿宋" w:cs="Times New Roman"/>
                <w:kern w:val="0"/>
                <w:sz w:val="24"/>
                <w:szCs w:val="24"/>
              </w:rPr>
              <w:t>.</w:t>
            </w:r>
            <w:r>
              <w:rPr>
                <w:rFonts w:ascii="Times New Roman" w:hAnsi="Times New Roman" w:eastAsia="仿宋" w:cs="Times New Roman"/>
                <w:kern w:val="0"/>
                <w:sz w:val="24"/>
                <w:szCs w:val="24"/>
              </w:rPr>
              <w:t>公务接待</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eastAsia" w:ascii="Times New Roman" w:hAnsi="Times New Roman" w:eastAsia="仿宋" w:cs="Times New Roman"/>
                <w:kern w:val="0"/>
                <w:sz w:val="24"/>
                <w:szCs w:val="24"/>
                <w:lang w:val="en-US" w:eastAsia="zh-CN" w:bidi="ar-SA"/>
              </w:rPr>
            </w:pPr>
            <w:r>
              <w:rPr>
                <w:rFonts w:ascii="Times New Roman" w:hAnsi="Times New Roman" w:eastAsia="仿宋" w:cs="Times New Roman"/>
                <w:kern w:val="0"/>
                <w:sz w:val="24"/>
                <w:szCs w:val="24"/>
              </w:rPr>
              <w:t>1.2</w:t>
            </w:r>
            <w:r>
              <w:rPr>
                <w:rFonts w:hint="eastAsia" w:ascii="Times New Roman" w:hAnsi="Times New Roman" w:eastAsia="仿宋" w:cs="Times New Roman"/>
                <w:kern w:val="0"/>
                <w:sz w:val="24"/>
                <w:szCs w:val="24"/>
                <w:lang w:val="en-US" w:eastAsia="zh-CN"/>
              </w:rPr>
              <w:t>1</w:t>
            </w: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rPr>
            </w:pPr>
            <w:r>
              <w:rPr>
                <w:rFonts w:hint="eastAsia" w:ascii="Times New Roman" w:hAnsi="Times New Roman" w:eastAsia="仿宋" w:cs="Times New Roman"/>
                <w:kern w:val="0"/>
                <w:sz w:val="24"/>
                <w:szCs w:val="24"/>
                <w:lang w:val="en-US" w:eastAsia="zh-CN"/>
              </w:rPr>
              <w:t>1</w:t>
            </w:r>
            <w:r>
              <w:rPr>
                <w:rFonts w:ascii="Times New Roman" w:hAnsi="Times New Roman" w:eastAsia="仿宋" w:cs="Times New Roman"/>
                <w:kern w:val="0"/>
                <w:sz w:val="24"/>
                <w:szCs w:val="24"/>
              </w:rPr>
              <w:t>　</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rPr>
            </w:pPr>
            <w:r>
              <w:rPr>
                <w:rFonts w:hint="eastAsia" w:ascii="Times New Roman" w:hAnsi="Times New Roman" w:eastAsia="仿宋" w:cs="Times New Roman"/>
                <w:kern w:val="0"/>
                <w:sz w:val="24"/>
                <w:szCs w:val="24"/>
                <w:lang w:val="en-US" w:eastAsia="zh-CN"/>
              </w:rPr>
              <w:t>2.2998</w:t>
            </w:r>
          </w:p>
        </w:tc>
      </w:tr>
      <w:tr>
        <w:tblPrEx>
          <w:tblCellMar>
            <w:top w:w="0" w:type="dxa"/>
            <w:left w:w="108" w:type="dxa"/>
            <w:bottom w:w="0" w:type="dxa"/>
            <w:right w:w="108" w:type="dxa"/>
          </w:tblCellMar>
        </w:tblPrEx>
        <w:trPr>
          <w:trHeight w:val="39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left"/>
              <w:rPr>
                <w:rFonts w:ascii="Times New Roman" w:hAnsi="Times New Roman" w:eastAsia="仿宋" w:cs="Times New Roman"/>
                <w:kern w:val="0"/>
                <w:sz w:val="24"/>
                <w:szCs w:val="24"/>
              </w:rPr>
            </w:pPr>
            <w:r>
              <w:rPr>
                <w:rFonts w:ascii="Times New Roman" w:hAnsi="Times New Roman" w:eastAsia="仿宋" w:cs="Times New Roman"/>
                <w:b/>
                <w:bCs/>
                <w:kern w:val="0"/>
                <w:sz w:val="24"/>
                <w:szCs w:val="24"/>
              </w:rPr>
              <w:t>项目支出</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lang w:val="en-US" w:eastAsia="zh-CN"/>
              </w:rPr>
              <w:t>1081.693845　</w:t>
            </w: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rPr>
            </w:pPr>
            <w:r>
              <w:rPr>
                <w:rFonts w:hint="eastAsia" w:ascii="Times New Roman" w:hAnsi="Times New Roman" w:eastAsia="仿宋" w:cs="Times New Roman"/>
                <w:kern w:val="0"/>
                <w:sz w:val="24"/>
                <w:szCs w:val="24"/>
                <w:lang w:val="en-US" w:eastAsia="zh-CN"/>
              </w:rPr>
              <w:t>88.16</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rPr>
            </w:pPr>
            <w:bookmarkStart w:id="0" w:name="_GoBack"/>
            <w:r>
              <w:rPr>
                <w:rFonts w:hint="eastAsia" w:ascii="Times New Roman" w:hAnsi="Times New Roman" w:eastAsia="仿宋" w:cs="Times New Roman"/>
                <w:kern w:val="0"/>
                <w:sz w:val="24"/>
                <w:szCs w:val="24"/>
                <w:lang w:val="en-US" w:eastAsia="zh-CN"/>
              </w:rPr>
              <w:t>835.415547</w:t>
            </w:r>
            <w:bookmarkEnd w:id="0"/>
          </w:p>
        </w:tc>
      </w:tr>
      <w:tr>
        <w:tblPrEx>
          <w:tblCellMar>
            <w:top w:w="0" w:type="dxa"/>
            <w:left w:w="108" w:type="dxa"/>
            <w:bottom w:w="0" w:type="dxa"/>
            <w:right w:w="108" w:type="dxa"/>
          </w:tblCellMar>
        </w:tblPrEx>
        <w:trPr>
          <w:trHeight w:val="37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 xml:space="preserve">    1</w:t>
            </w:r>
            <w:r>
              <w:rPr>
                <w:rFonts w:hint="eastAsia" w:ascii="Times New Roman" w:hAnsi="Times New Roman" w:eastAsia="仿宋" w:cs="Times New Roman"/>
                <w:kern w:val="0"/>
                <w:sz w:val="24"/>
                <w:szCs w:val="24"/>
              </w:rPr>
              <w:t>.</w:t>
            </w:r>
            <w:r>
              <w:rPr>
                <w:rFonts w:ascii="Times New Roman" w:hAnsi="Times New Roman" w:eastAsia="仿宋" w:cs="Times New Roman"/>
                <w:kern w:val="0"/>
                <w:sz w:val="24"/>
                <w:szCs w:val="24"/>
              </w:rPr>
              <w:t>业务工作专项</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lang w:val="en-US" w:eastAsia="zh-CN"/>
              </w:rPr>
              <w:t>1081.693845　</w:t>
            </w:r>
            <w:r>
              <w:rPr>
                <w:rFonts w:ascii="Times New Roman" w:hAnsi="Times New Roman" w:eastAsia="仿宋" w:cs="Times New Roman"/>
                <w:kern w:val="0"/>
                <w:sz w:val="24"/>
                <w:szCs w:val="24"/>
              </w:rPr>
              <w:t>　</w:t>
            </w: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rPr>
            </w:pPr>
            <w:r>
              <w:rPr>
                <w:rFonts w:hint="eastAsia" w:ascii="Times New Roman" w:hAnsi="Times New Roman" w:eastAsia="仿宋" w:cs="Times New Roman"/>
                <w:kern w:val="0"/>
                <w:sz w:val="24"/>
                <w:szCs w:val="24"/>
                <w:lang w:val="en-US" w:eastAsia="zh-CN"/>
              </w:rPr>
              <w:t>88.16</w:t>
            </w:r>
            <w:r>
              <w:rPr>
                <w:rFonts w:ascii="Times New Roman" w:hAnsi="Times New Roman" w:eastAsia="仿宋" w:cs="Times New Roman"/>
                <w:kern w:val="0"/>
                <w:sz w:val="24"/>
                <w:szCs w:val="24"/>
              </w:rPr>
              <w:t>　</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rPr>
            </w:pPr>
            <w:r>
              <w:rPr>
                <w:rFonts w:hint="eastAsia" w:ascii="Times New Roman" w:hAnsi="Times New Roman" w:eastAsia="仿宋" w:cs="Times New Roman"/>
                <w:kern w:val="0"/>
                <w:sz w:val="24"/>
                <w:szCs w:val="24"/>
                <w:lang w:val="en-US" w:eastAsia="zh-CN"/>
              </w:rPr>
              <w:t>835.415547</w:t>
            </w:r>
          </w:p>
        </w:tc>
      </w:tr>
      <w:tr>
        <w:tblPrEx>
          <w:tblCellMar>
            <w:top w:w="0" w:type="dxa"/>
            <w:left w:w="108" w:type="dxa"/>
            <w:bottom w:w="0" w:type="dxa"/>
            <w:right w:w="108" w:type="dxa"/>
          </w:tblCellMar>
        </w:tblPrEx>
        <w:trPr>
          <w:trHeight w:val="37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 xml:space="preserve">    2</w:t>
            </w:r>
            <w:r>
              <w:rPr>
                <w:rFonts w:hint="eastAsia" w:ascii="Times New Roman" w:hAnsi="Times New Roman" w:eastAsia="仿宋" w:cs="Times New Roman"/>
                <w:kern w:val="0"/>
                <w:sz w:val="24"/>
                <w:szCs w:val="24"/>
              </w:rPr>
              <w:t>.</w:t>
            </w:r>
            <w:r>
              <w:rPr>
                <w:rFonts w:ascii="Times New Roman" w:hAnsi="Times New Roman" w:eastAsia="仿宋" w:cs="Times New Roman"/>
                <w:kern w:val="0"/>
                <w:sz w:val="24"/>
                <w:szCs w:val="24"/>
              </w:rPr>
              <w:t>运行维护专项</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lang w:val="en-US" w:eastAsia="zh-CN" w:bidi="ar-SA"/>
              </w:rPr>
            </w:pPr>
            <w:r>
              <w:rPr>
                <w:rFonts w:ascii="Times New Roman" w:hAnsi="Times New Roman" w:eastAsia="仿宋" w:cs="Times New Roman"/>
                <w:kern w:val="0"/>
                <w:sz w:val="24"/>
                <w:szCs w:val="24"/>
              </w:rPr>
              <w:t>　</w:t>
            </w:r>
            <w:r>
              <w:rPr>
                <w:rFonts w:hint="eastAsia" w:ascii="Times New Roman" w:hAnsi="Times New Roman" w:eastAsia="仿宋" w:cs="Times New Roman"/>
                <w:kern w:val="0"/>
                <w:sz w:val="24"/>
                <w:szCs w:val="24"/>
              </w:rPr>
              <w:t>0</w:t>
            </w: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rPr>
            </w:pPr>
            <w:r>
              <w:rPr>
                <w:rFonts w:hint="eastAsia" w:ascii="Times New Roman" w:hAnsi="Times New Roman" w:eastAsia="仿宋" w:cs="Times New Roman"/>
                <w:kern w:val="0"/>
                <w:sz w:val="24"/>
                <w:szCs w:val="24"/>
                <w:lang w:val="en-US" w:eastAsia="zh-CN"/>
              </w:rPr>
              <w:t>0</w:t>
            </w:r>
            <w:r>
              <w:rPr>
                <w:rFonts w:ascii="Times New Roman" w:hAnsi="Times New Roman" w:eastAsia="仿宋" w:cs="Times New Roman"/>
                <w:kern w:val="0"/>
                <w:sz w:val="24"/>
                <w:szCs w:val="24"/>
              </w:rPr>
              <w:t>　</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rPr>
            </w:pPr>
            <w:r>
              <w:rPr>
                <w:rFonts w:hint="eastAsia" w:ascii="Times New Roman" w:hAnsi="Times New Roman" w:eastAsia="仿宋" w:cs="Times New Roman"/>
                <w:kern w:val="0"/>
                <w:sz w:val="24"/>
                <w:szCs w:val="24"/>
                <w:lang w:val="en-US" w:eastAsia="zh-CN"/>
              </w:rPr>
              <w:t>0</w:t>
            </w:r>
            <w:r>
              <w:rPr>
                <w:rFonts w:ascii="Times New Roman" w:hAnsi="Times New Roman" w:eastAsia="仿宋" w:cs="Times New Roman"/>
                <w:kern w:val="0"/>
                <w:sz w:val="24"/>
                <w:szCs w:val="24"/>
              </w:rPr>
              <w:t>　</w:t>
            </w:r>
          </w:p>
        </w:tc>
      </w:tr>
      <w:tr>
        <w:tblPrEx>
          <w:tblCellMar>
            <w:top w:w="0" w:type="dxa"/>
            <w:left w:w="108" w:type="dxa"/>
            <w:bottom w:w="0" w:type="dxa"/>
            <w:right w:w="108" w:type="dxa"/>
          </w:tblCellMar>
        </w:tblPrEx>
        <w:trPr>
          <w:trHeight w:val="37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lang w:val="en-US" w:eastAsia="zh-CN" w:bidi="ar-SA"/>
              </w:rPr>
            </w:pPr>
            <w:r>
              <w:rPr>
                <w:rFonts w:ascii="Times New Roman" w:hAnsi="Times New Roman" w:eastAsia="仿宋" w:cs="Times New Roman"/>
                <w:kern w:val="0"/>
                <w:sz w:val="24"/>
                <w:szCs w:val="24"/>
              </w:rPr>
              <w:t>　</w:t>
            </w: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　</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　</w:t>
            </w:r>
          </w:p>
        </w:tc>
      </w:tr>
      <w:tr>
        <w:tblPrEx>
          <w:tblCellMar>
            <w:top w:w="0" w:type="dxa"/>
            <w:left w:w="108" w:type="dxa"/>
            <w:bottom w:w="0" w:type="dxa"/>
            <w:right w:w="108" w:type="dxa"/>
          </w:tblCellMar>
        </w:tblPrEx>
        <w:trPr>
          <w:trHeight w:val="37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left"/>
              <w:rPr>
                <w:rFonts w:ascii="Times New Roman" w:hAnsi="Times New Roman" w:eastAsia="仿宋" w:cs="Times New Roman"/>
                <w:kern w:val="0"/>
                <w:sz w:val="24"/>
                <w:szCs w:val="24"/>
              </w:rPr>
            </w:pPr>
            <w:r>
              <w:rPr>
                <w:rFonts w:ascii="Times New Roman" w:hAnsi="Times New Roman" w:eastAsia="仿宋" w:cs="Times New Roman"/>
                <w:b/>
                <w:bCs/>
                <w:kern w:val="0"/>
                <w:sz w:val="24"/>
                <w:szCs w:val="24"/>
              </w:rPr>
              <w:t>公用经费</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lang w:val="en-US" w:eastAsia="zh-CN"/>
              </w:rPr>
              <w:t>11.339</w:t>
            </w: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rPr>
            </w:pPr>
            <w:r>
              <w:rPr>
                <w:rFonts w:hint="eastAsia" w:ascii="Times New Roman" w:hAnsi="Times New Roman" w:eastAsia="仿宋" w:cs="Times New Roman"/>
                <w:kern w:val="0"/>
                <w:sz w:val="24"/>
                <w:szCs w:val="24"/>
                <w:lang w:val="en-US" w:eastAsia="zh-CN"/>
              </w:rPr>
              <w:t>4.7</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lang w:val="en-US" w:eastAsia="zh-CN" w:bidi="ar-SA"/>
              </w:rPr>
              <w:t>12.7846</w:t>
            </w:r>
          </w:p>
        </w:tc>
      </w:tr>
      <w:tr>
        <w:tblPrEx>
          <w:tblCellMar>
            <w:top w:w="0" w:type="dxa"/>
            <w:left w:w="108" w:type="dxa"/>
            <w:bottom w:w="0" w:type="dxa"/>
            <w:right w:w="108" w:type="dxa"/>
          </w:tblCellMar>
        </w:tblPrEx>
        <w:trPr>
          <w:trHeight w:val="39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 xml:space="preserve">    </w:t>
            </w:r>
            <w:r>
              <w:rPr>
                <w:rFonts w:hint="eastAsia" w:ascii="Times New Roman" w:hAnsi="Times New Roman" w:eastAsia="仿宋" w:cs="Times New Roman"/>
                <w:kern w:val="0"/>
                <w:sz w:val="24"/>
                <w:szCs w:val="24"/>
              </w:rPr>
              <w:t>1.</w:t>
            </w:r>
            <w:r>
              <w:rPr>
                <w:rFonts w:ascii="Times New Roman" w:hAnsi="Times New Roman" w:eastAsia="仿宋" w:cs="Times New Roman"/>
                <w:kern w:val="0"/>
                <w:sz w:val="24"/>
                <w:szCs w:val="24"/>
              </w:rPr>
              <w:t>办公经费</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lang w:val="en-US" w:eastAsia="zh-CN"/>
              </w:rPr>
              <w:t>8.691</w:t>
            </w:r>
            <w:r>
              <w:rPr>
                <w:rFonts w:ascii="Times New Roman" w:hAnsi="Times New Roman" w:eastAsia="仿宋" w:cs="Times New Roman"/>
                <w:kern w:val="0"/>
                <w:sz w:val="24"/>
                <w:szCs w:val="24"/>
              </w:rPr>
              <w:t>　</w:t>
            </w: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rPr>
            </w:pPr>
            <w:r>
              <w:rPr>
                <w:rFonts w:hint="eastAsia" w:ascii="Times New Roman" w:hAnsi="Times New Roman" w:eastAsia="仿宋" w:cs="Times New Roman"/>
                <w:kern w:val="0"/>
                <w:sz w:val="24"/>
                <w:szCs w:val="24"/>
                <w:lang w:val="en-US" w:eastAsia="zh-CN"/>
              </w:rPr>
              <w:t>1.8</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lang w:val="en-US" w:eastAsia="zh-CN" w:bidi="ar-SA"/>
              </w:rPr>
              <w:t>5.2730</w:t>
            </w:r>
          </w:p>
        </w:tc>
      </w:tr>
      <w:tr>
        <w:tblPrEx>
          <w:tblCellMar>
            <w:top w:w="0" w:type="dxa"/>
            <w:left w:w="108" w:type="dxa"/>
            <w:bottom w:w="0" w:type="dxa"/>
            <w:right w:w="108" w:type="dxa"/>
          </w:tblCellMar>
        </w:tblPrEx>
        <w:trPr>
          <w:trHeight w:val="37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 xml:space="preserve">    </w:t>
            </w:r>
            <w:r>
              <w:rPr>
                <w:rFonts w:hint="eastAsia" w:ascii="Times New Roman" w:hAnsi="Times New Roman" w:eastAsia="仿宋" w:cs="Times New Roman"/>
                <w:kern w:val="0"/>
                <w:sz w:val="24"/>
                <w:szCs w:val="24"/>
              </w:rPr>
              <w:t>2.</w:t>
            </w:r>
            <w:r>
              <w:rPr>
                <w:rFonts w:ascii="Times New Roman" w:hAnsi="Times New Roman" w:eastAsia="仿宋" w:cs="Times New Roman"/>
                <w:kern w:val="0"/>
                <w:sz w:val="24"/>
                <w:szCs w:val="24"/>
              </w:rPr>
              <w:t>水电费</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lang w:val="en-US" w:eastAsia="zh-CN"/>
              </w:rPr>
              <w:t>0.55</w:t>
            </w:r>
            <w:r>
              <w:rPr>
                <w:rFonts w:ascii="Times New Roman" w:hAnsi="Times New Roman" w:eastAsia="仿宋" w:cs="Times New Roman"/>
                <w:kern w:val="0"/>
                <w:sz w:val="24"/>
                <w:szCs w:val="24"/>
              </w:rPr>
              <w:t>　</w:t>
            </w: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rPr>
            </w:pPr>
            <w:r>
              <w:rPr>
                <w:rFonts w:hint="eastAsia" w:ascii="Times New Roman" w:hAnsi="Times New Roman" w:eastAsia="仿宋" w:cs="Times New Roman"/>
                <w:kern w:val="0"/>
                <w:sz w:val="24"/>
                <w:szCs w:val="24"/>
                <w:lang w:val="en-US" w:eastAsia="zh-CN"/>
              </w:rPr>
              <w:t>0.6</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lang w:val="en-US" w:eastAsia="zh-CN"/>
              </w:rPr>
              <w:t>0.8791</w:t>
            </w:r>
          </w:p>
        </w:tc>
      </w:tr>
      <w:tr>
        <w:tblPrEx>
          <w:tblCellMar>
            <w:top w:w="0" w:type="dxa"/>
            <w:left w:w="108" w:type="dxa"/>
            <w:bottom w:w="0" w:type="dxa"/>
            <w:right w:w="108" w:type="dxa"/>
          </w:tblCellMar>
        </w:tblPrEx>
        <w:trPr>
          <w:trHeight w:val="37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left"/>
              <w:rPr>
                <w:rFonts w:ascii="Times New Roman" w:hAnsi="Times New Roman" w:eastAsia="仿宋" w:cs="Times New Roman"/>
                <w:kern w:val="0"/>
                <w:sz w:val="24"/>
                <w:szCs w:val="24"/>
              </w:rPr>
            </w:pPr>
            <w:r>
              <w:rPr>
                <w:rFonts w:hint="eastAsia" w:ascii="Times New Roman" w:hAnsi="Times New Roman" w:eastAsia="仿宋" w:cs="Times New Roman"/>
                <w:kern w:val="0"/>
                <w:sz w:val="24"/>
                <w:szCs w:val="24"/>
              </w:rPr>
              <w:t xml:space="preserve">    3.</w:t>
            </w:r>
            <w:r>
              <w:rPr>
                <w:rFonts w:ascii="Times New Roman" w:hAnsi="Times New Roman" w:eastAsia="仿宋" w:cs="Times New Roman"/>
                <w:kern w:val="0"/>
                <w:sz w:val="24"/>
                <w:szCs w:val="24"/>
              </w:rPr>
              <w:t>差旅费</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lang w:val="en-US" w:eastAsia="zh-CN"/>
              </w:rPr>
              <w:t>1.5362</w:t>
            </w: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rPr>
            </w:pPr>
            <w:r>
              <w:rPr>
                <w:rFonts w:hint="eastAsia" w:ascii="Times New Roman" w:hAnsi="Times New Roman" w:eastAsia="仿宋" w:cs="Times New Roman"/>
                <w:kern w:val="0"/>
                <w:sz w:val="24"/>
                <w:szCs w:val="24"/>
                <w:lang w:val="en-US" w:eastAsia="zh-CN"/>
              </w:rPr>
              <w:t>0.7</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lang w:val="en-US" w:eastAsia="zh-CN"/>
              </w:rPr>
              <w:t>0.858</w:t>
            </w:r>
          </w:p>
        </w:tc>
      </w:tr>
      <w:tr>
        <w:tblPrEx>
          <w:tblCellMar>
            <w:top w:w="0" w:type="dxa"/>
            <w:left w:w="108" w:type="dxa"/>
            <w:bottom w:w="0" w:type="dxa"/>
            <w:right w:w="108" w:type="dxa"/>
          </w:tblCellMar>
        </w:tblPrEx>
        <w:trPr>
          <w:trHeight w:val="37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 xml:space="preserve">    </w:t>
            </w:r>
            <w:r>
              <w:rPr>
                <w:rFonts w:hint="eastAsia" w:ascii="Times New Roman" w:hAnsi="Times New Roman" w:eastAsia="仿宋" w:cs="Times New Roman"/>
                <w:kern w:val="0"/>
                <w:sz w:val="24"/>
                <w:szCs w:val="24"/>
              </w:rPr>
              <w:t>4.</w:t>
            </w:r>
            <w:r>
              <w:rPr>
                <w:rFonts w:ascii="Times New Roman" w:hAnsi="Times New Roman" w:eastAsia="仿宋" w:cs="Times New Roman"/>
                <w:kern w:val="0"/>
                <w:sz w:val="24"/>
                <w:szCs w:val="24"/>
              </w:rPr>
              <w:t>会议费</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lang w:val="en-US" w:eastAsia="zh-CN"/>
              </w:rPr>
              <w:t>0.3798</w:t>
            </w: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rPr>
            </w:pPr>
            <w:r>
              <w:rPr>
                <w:rFonts w:hint="eastAsia" w:ascii="Times New Roman" w:hAnsi="Times New Roman" w:eastAsia="仿宋" w:cs="Times New Roman"/>
                <w:kern w:val="0"/>
                <w:sz w:val="24"/>
                <w:szCs w:val="24"/>
                <w:lang w:val="en-US" w:eastAsia="zh-CN"/>
              </w:rPr>
              <w:t>1</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lang w:val="en-US" w:eastAsia="zh-CN"/>
              </w:rPr>
              <w:t>　0</w:t>
            </w:r>
          </w:p>
        </w:tc>
      </w:tr>
      <w:tr>
        <w:tblPrEx>
          <w:tblCellMar>
            <w:top w:w="0" w:type="dxa"/>
            <w:left w:w="108" w:type="dxa"/>
            <w:bottom w:w="0" w:type="dxa"/>
            <w:right w:w="108" w:type="dxa"/>
          </w:tblCellMar>
        </w:tblPrEx>
        <w:trPr>
          <w:trHeight w:val="37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left"/>
              <w:rPr>
                <w:rFonts w:ascii="Times New Roman" w:hAnsi="Times New Roman" w:eastAsia="仿宋" w:cs="Times New Roman"/>
                <w:kern w:val="0"/>
                <w:sz w:val="24"/>
                <w:szCs w:val="24"/>
              </w:rPr>
            </w:pPr>
            <w:r>
              <w:rPr>
                <w:rFonts w:hint="eastAsia" w:ascii="Times New Roman" w:hAnsi="Times New Roman" w:eastAsia="仿宋" w:cs="Times New Roman"/>
                <w:kern w:val="0"/>
                <w:sz w:val="24"/>
                <w:szCs w:val="24"/>
              </w:rPr>
              <w:t xml:space="preserve">    5.</w:t>
            </w:r>
            <w:r>
              <w:rPr>
                <w:rFonts w:ascii="Times New Roman" w:hAnsi="Times New Roman" w:eastAsia="仿宋" w:cs="Times New Roman"/>
                <w:kern w:val="0"/>
                <w:sz w:val="24"/>
                <w:szCs w:val="24"/>
              </w:rPr>
              <w:t>培训费</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lang w:val="en-US" w:eastAsia="zh-CN"/>
              </w:rPr>
              <w:t>0.182</w:t>
            </w: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rPr>
            </w:pPr>
            <w:r>
              <w:rPr>
                <w:rFonts w:hint="eastAsia" w:ascii="Times New Roman" w:hAnsi="Times New Roman" w:eastAsia="仿宋" w:cs="Times New Roman"/>
                <w:kern w:val="0"/>
                <w:sz w:val="24"/>
                <w:szCs w:val="24"/>
                <w:lang w:val="en-US" w:eastAsia="zh-CN"/>
              </w:rPr>
              <w:t>0.6</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bidi="ar-SA"/>
              </w:rPr>
            </w:pPr>
            <w:r>
              <w:rPr>
                <w:rFonts w:hint="eastAsia" w:ascii="Times New Roman" w:hAnsi="Times New Roman" w:eastAsia="仿宋" w:cs="Times New Roman"/>
                <w:kern w:val="0"/>
                <w:sz w:val="24"/>
                <w:szCs w:val="24"/>
                <w:lang w:val="en-US" w:eastAsia="zh-CN" w:bidi="ar-SA"/>
              </w:rPr>
              <w:t>5.7745</w:t>
            </w:r>
          </w:p>
        </w:tc>
      </w:tr>
      <w:tr>
        <w:tblPrEx>
          <w:tblCellMar>
            <w:top w:w="0" w:type="dxa"/>
            <w:left w:w="108" w:type="dxa"/>
            <w:bottom w:w="0" w:type="dxa"/>
            <w:right w:w="108" w:type="dxa"/>
          </w:tblCellMar>
        </w:tblPrEx>
        <w:trPr>
          <w:trHeight w:val="37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ind w:firstLine="480" w:firstLineChars="200"/>
              <w:jc w:val="both"/>
              <w:rPr>
                <w:rFonts w:hint="default" w:ascii="Times New Roman" w:hAnsi="Times New Roman" w:eastAsia="仿宋" w:cs="Times New Roman"/>
                <w:kern w:val="0"/>
                <w:sz w:val="24"/>
                <w:szCs w:val="24"/>
                <w:lang w:val="en-US" w:eastAsia="zh-CN"/>
              </w:rPr>
            </w:pPr>
            <w:r>
              <w:rPr>
                <w:rFonts w:ascii="Times New Roman" w:hAnsi="Times New Roman" w:eastAsia="仿宋" w:cs="Times New Roman"/>
                <w:kern w:val="0"/>
                <w:sz w:val="24"/>
                <w:szCs w:val="24"/>
              </w:rPr>
              <w:t>……</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color w:val="FF0000"/>
                <w:kern w:val="0"/>
                <w:sz w:val="24"/>
                <w:szCs w:val="24"/>
                <w:lang w:val="en-US" w:eastAsia="zh-CN"/>
              </w:rPr>
            </w:pP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rPr>
            </w:pP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color w:val="FF0000"/>
                <w:kern w:val="0"/>
                <w:sz w:val="24"/>
                <w:szCs w:val="24"/>
              </w:rPr>
            </w:pPr>
          </w:p>
        </w:tc>
      </w:tr>
      <w:tr>
        <w:tblPrEx>
          <w:tblCellMar>
            <w:top w:w="0" w:type="dxa"/>
            <w:left w:w="108" w:type="dxa"/>
            <w:bottom w:w="0" w:type="dxa"/>
            <w:right w:w="108" w:type="dxa"/>
          </w:tblCellMar>
        </w:tblPrEx>
        <w:trPr>
          <w:trHeight w:val="37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left"/>
              <w:rPr>
                <w:rFonts w:hint="eastAsia" w:ascii="Times New Roman" w:hAnsi="Times New Roman" w:eastAsia="仿宋" w:cs="Times New Roman"/>
                <w:kern w:val="0"/>
                <w:sz w:val="24"/>
                <w:szCs w:val="24"/>
                <w:lang w:val="en-US" w:eastAsia="zh-CN"/>
              </w:rPr>
            </w:pPr>
            <w:r>
              <w:rPr>
                <w:rFonts w:ascii="Times New Roman" w:hAnsi="Times New Roman" w:eastAsia="仿宋" w:cs="Times New Roman"/>
                <w:b/>
                <w:bCs/>
                <w:kern w:val="0"/>
                <w:sz w:val="24"/>
                <w:szCs w:val="24"/>
              </w:rPr>
              <w:t>政府采购金额</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color w:val="FF0000"/>
                <w:kern w:val="0"/>
                <w:sz w:val="24"/>
                <w:szCs w:val="24"/>
                <w:lang w:val="en-US" w:eastAsia="zh-CN"/>
              </w:rPr>
            </w:pP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color w:val="FF0000"/>
                <w:kern w:val="0"/>
                <w:sz w:val="24"/>
                <w:szCs w:val="24"/>
                <w:lang w:val="en-US" w:eastAsia="zh-CN"/>
              </w:rPr>
            </w:pPr>
            <w:r>
              <w:rPr>
                <w:rFonts w:hint="eastAsia" w:ascii="Times New Roman" w:hAnsi="Times New Roman" w:eastAsia="仿宋" w:cs="Times New Roman"/>
                <w:kern w:val="0"/>
                <w:sz w:val="24"/>
                <w:szCs w:val="24"/>
                <w:lang w:val="en-US" w:eastAsia="zh-CN"/>
              </w:rPr>
              <w:t>0</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eastAsia" w:ascii="Times New Roman" w:hAnsi="Times New Roman" w:eastAsia="仿宋" w:cs="Times New Roman"/>
                <w:color w:val="FF0000"/>
                <w:kern w:val="0"/>
                <w:sz w:val="24"/>
                <w:szCs w:val="24"/>
                <w:lang w:val="en-US" w:eastAsia="zh-CN"/>
              </w:rPr>
            </w:pPr>
            <w:r>
              <w:rPr>
                <w:rFonts w:hint="eastAsia" w:ascii="Times New Roman" w:hAnsi="Times New Roman" w:eastAsia="仿宋" w:cs="Times New Roman"/>
                <w:kern w:val="0"/>
                <w:sz w:val="24"/>
                <w:szCs w:val="24"/>
                <w:lang w:val="en-US" w:eastAsia="zh-CN"/>
              </w:rPr>
              <w:t>0</w:t>
            </w:r>
          </w:p>
        </w:tc>
      </w:tr>
      <w:tr>
        <w:tblPrEx>
          <w:tblCellMar>
            <w:top w:w="0" w:type="dxa"/>
            <w:left w:w="108" w:type="dxa"/>
            <w:bottom w:w="0" w:type="dxa"/>
            <w:right w:w="108" w:type="dxa"/>
          </w:tblCellMar>
        </w:tblPrEx>
        <w:trPr>
          <w:trHeight w:val="37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left"/>
              <w:rPr>
                <w:rFonts w:ascii="Times New Roman" w:hAnsi="Times New Roman" w:eastAsia="仿宋" w:cs="Times New Roman"/>
                <w:kern w:val="0"/>
                <w:sz w:val="24"/>
                <w:szCs w:val="24"/>
              </w:rPr>
            </w:pPr>
            <w:r>
              <w:rPr>
                <w:rFonts w:ascii="Times New Roman" w:hAnsi="Times New Roman" w:eastAsia="仿宋" w:cs="Times New Roman"/>
                <w:b/>
                <w:bCs/>
                <w:kern w:val="0"/>
                <w:sz w:val="24"/>
                <w:szCs w:val="24"/>
              </w:rPr>
              <w:t xml:space="preserve">部门整体支出预算调整 </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w:t>
            </w: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default" w:ascii="Times New Roman" w:hAnsi="Times New Roman" w:eastAsia="仿宋" w:cs="Times New Roman"/>
                <w:kern w:val="0"/>
                <w:sz w:val="24"/>
                <w:szCs w:val="24"/>
                <w:lang w:val="en-US" w:eastAsia="zh-CN"/>
              </w:rPr>
            </w:pPr>
            <w:r>
              <w:rPr>
                <w:rFonts w:hint="eastAsia" w:ascii="Times New Roman" w:hAnsi="Times New Roman" w:eastAsia="仿宋" w:cs="Times New Roman"/>
                <w:kern w:val="0"/>
                <w:sz w:val="24"/>
                <w:szCs w:val="24"/>
                <w:lang w:val="en-US" w:eastAsia="zh-CN"/>
              </w:rPr>
              <w:t>269.62</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rPr>
            </w:pPr>
            <w:r>
              <w:rPr>
                <w:rFonts w:hint="eastAsia" w:ascii="Times New Roman" w:hAnsi="Times New Roman" w:eastAsia="仿宋" w:cs="Times New Roman"/>
                <w:kern w:val="0"/>
                <w:sz w:val="24"/>
                <w:szCs w:val="24"/>
                <w:lang w:val="en-US" w:eastAsia="zh-CN"/>
              </w:rPr>
              <w:t>1158.056831</w:t>
            </w:r>
          </w:p>
        </w:tc>
      </w:tr>
      <w:tr>
        <w:tblPrEx>
          <w:tblCellMar>
            <w:top w:w="0" w:type="dxa"/>
            <w:left w:w="108" w:type="dxa"/>
            <w:bottom w:w="0" w:type="dxa"/>
            <w:right w:w="108" w:type="dxa"/>
          </w:tblCellMar>
        </w:tblPrEx>
        <w:trPr>
          <w:trHeight w:val="371"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Times New Roman" w:hAnsi="Times New Roman" w:eastAsia="仿宋" w:cs="Times New Roman"/>
                <w:b/>
                <w:bCs/>
                <w:kern w:val="0"/>
                <w:sz w:val="24"/>
                <w:szCs w:val="24"/>
                <w:lang w:eastAsia="zh-CN"/>
              </w:rPr>
            </w:pPr>
            <w:r>
              <w:rPr>
                <w:rFonts w:ascii="Times New Roman" w:hAnsi="Times New Roman" w:eastAsia="仿宋" w:cs="Times New Roman"/>
                <w:b/>
                <w:bCs/>
                <w:kern w:val="0"/>
                <w:sz w:val="24"/>
                <w:szCs w:val="24"/>
              </w:rPr>
              <w:t>楼堂馆所控制情况</w:t>
            </w:r>
          </w:p>
          <w:p>
            <w:pPr>
              <w:widowControl/>
              <w:jc w:val="center"/>
              <w:rPr>
                <w:rFonts w:ascii="Times New Roman" w:hAnsi="Times New Roman" w:eastAsia="仿宋" w:cs="Times New Roman"/>
                <w:kern w:val="0"/>
                <w:sz w:val="24"/>
                <w:szCs w:val="24"/>
              </w:rPr>
            </w:pPr>
            <w:r>
              <w:rPr>
                <w:rFonts w:ascii="Times New Roman" w:hAnsi="Times New Roman" w:eastAsia="仿宋" w:cs="Times New Roman"/>
                <w:b/>
                <w:bCs/>
                <w:kern w:val="0"/>
                <w:sz w:val="24"/>
                <w:szCs w:val="24"/>
              </w:rPr>
              <w:t>（</w:t>
            </w:r>
            <w:r>
              <w:rPr>
                <w:rFonts w:hint="eastAsia" w:ascii="Times New Roman" w:hAnsi="Times New Roman" w:eastAsia="仿宋" w:cs="Times New Roman"/>
                <w:b/>
                <w:bCs/>
                <w:kern w:val="0"/>
                <w:sz w:val="24"/>
                <w:szCs w:val="24"/>
                <w:lang w:eastAsia="zh-CN"/>
              </w:rPr>
              <w:t>2021</w:t>
            </w:r>
            <w:r>
              <w:rPr>
                <w:rFonts w:ascii="Times New Roman" w:hAnsi="Times New Roman" w:eastAsia="仿宋" w:cs="Times New Roman"/>
                <w:b/>
                <w:bCs/>
                <w:kern w:val="0"/>
                <w:sz w:val="24"/>
                <w:szCs w:val="24"/>
              </w:rPr>
              <w:t>年完工项目）</w:t>
            </w:r>
          </w:p>
        </w:tc>
        <w:tc>
          <w:tcPr>
            <w:tcW w:w="1856"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rPr>
            </w:pPr>
            <w:r>
              <w:rPr>
                <w:rFonts w:ascii="Times New Roman" w:hAnsi="Times New Roman" w:eastAsia="仿宋" w:cs="Times New Roman"/>
                <w:kern w:val="0"/>
                <w:sz w:val="24"/>
                <w:szCs w:val="24"/>
              </w:rPr>
              <w:t>——</w:t>
            </w:r>
          </w:p>
        </w:tc>
        <w:tc>
          <w:tcPr>
            <w:tcW w:w="1984" w:type="dxa"/>
            <w:gridSpan w:val="2"/>
            <w:tcBorders>
              <w:top w:val="single" w:color="auto" w:sz="4" w:space="0"/>
              <w:left w:val="nil"/>
              <w:bottom w:val="single" w:color="auto" w:sz="4" w:space="0"/>
              <w:right w:val="single" w:color="000000" w:sz="4" w:space="0"/>
            </w:tcBorders>
            <w:noWrap w:val="0"/>
            <w:vAlign w:val="center"/>
          </w:tcPr>
          <w:p>
            <w:pPr>
              <w:widowControl/>
              <w:jc w:val="center"/>
              <w:rPr>
                <w:rFonts w:ascii="Times New Roman" w:hAnsi="Times New Roman" w:eastAsia="仿宋" w:cs="Times New Roman"/>
                <w:kern w:val="0"/>
                <w:sz w:val="24"/>
                <w:szCs w:val="24"/>
              </w:rPr>
            </w:pPr>
            <w:r>
              <w:rPr>
                <w:rFonts w:hint="eastAsia" w:ascii="Times New Roman" w:hAnsi="Times New Roman" w:eastAsia="仿宋" w:cs="Times New Roman"/>
                <w:kern w:val="0"/>
                <w:sz w:val="24"/>
                <w:szCs w:val="24"/>
                <w:lang w:val="en-US" w:eastAsia="zh-CN"/>
              </w:rPr>
              <w:t>0</w:t>
            </w:r>
            <w:r>
              <w:rPr>
                <w:rFonts w:ascii="Times New Roman" w:hAnsi="Times New Roman" w:eastAsia="仿宋" w:cs="Times New Roman"/>
                <w:kern w:val="0"/>
                <w:sz w:val="24"/>
                <w:szCs w:val="24"/>
              </w:rPr>
              <w:t>　</w:t>
            </w:r>
          </w:p>
        </w:tc>
        <w:tc>
          <w:tcPr>
            <w:tcW w:w="2745" w:type="dxa"/>
            <w:gridSpan w:val="2"/>
            <w:tcBorders>
              <w:top w:val="single" w:color="auto" w:sz="4" w:space="0"/>
              <w:left w:val="nil"/>
              <w:bottom w:val="single" w:color="auto" w:sz="4" w:space="0"/>
              <w:right w:val="single" w:color="000000" w:sz="4" w:space="0"/>
            </w:tcBorders>
            <w:noWrap w:val="0"/>
            <w:vAlign w:val="center"/>
          </w:tcPr>
          <w:p>
            <w:pPr>
              <w:widowControl/>
              <w:jc w:val="center"/>
              <w:rPr>
                <w:rFonts w:hint="eastAsia" w:ascii="Times New Roman" w:hAnsi="Times New Roman" w:eastAsia="仿宋" w:cs="Times New Roman"/>
                <w:kern w:val="0"/>
                <w:sz w:val="24"/>
                <w:szCs w:val="24"/>
                <w:lang w:val="en-US" w:eastAsia="zh-CN"/>
              </w:rPr>
            </w:pPr>
            <w:r>
              <w:rPr>
                <w:rFonts w:ascii="Times New Roman" w:hAnsi="Times New Roman" w:eastAsia="仿宋" w:cs="Times New Roman"/>
                <w:kern w:val="0"/>
                <w:sz w:val="24"/>
                <w:szCs w:val="24"/>
              </w:rPr>
              <w:t>　</w:t>
            </w:r>
            <w:r>
              <w:rPr>
                <w:rFonts w:hint="eastAsia" w:ascii="Times New Roman" w:hAnsi="Times New Roman" w:eastAsia="仿宋" w:cs="Times New Roman"/>
                <w:kern w:val="0"/>
                <w:sz w:val="24"/>
                <w:szCs w:val="24"/>
                <w:lang w:val="en-US" w:eastAsia="zh-CN"/>
              </w:rPr>
              <w:t>0</w:t>
            </w:r>
          </w:p>
        </w:tc>
      </w:tr>
      <w:tr>
        <w:tblPrEx>
          <w:tblCellMar>
            <w:top w:w="0" w:type="dxa"/>
            <w:left w:w="108" w:type="dxa"/>
            <w:bottom w:w="0" w:type="dxa"/>
            <w:right w:w="108" w:type="dxa"/>
          </w:tblCellMar>
        </w:tblPrEx>
        <w:trPr>
          <w:trHeight w:val="1154" w:hRule="atLeast"/>
          <w:jc w:val="center"/>
        </w:trPr>
        <w:tc>
          <w:tcPr>
            <w:tcW w:w="3322" w:type="dxa"/>
            <w:vMerge w:val="restart"/>
            <w:tcBorders>
              <w:top w:val="nil"/>
              <w:left w:val="single" w:color="auto" w:sz="4" w:space="0"/>
              <w:right w:val="single" w:color="auto" w:sz="4" w:space="0"/>
            </w:tcBorders>
            <w:noWrap w:val="0"/>
            <w:vAlign w:val="center"/>
          </w:tcPr>
          <w:p>
            <w:pPr>
              <w:widowControl/>
              <w:jc w:val="left"/>
              <w:rPr>
                <w:rFonts w:ascii="Times New Roman" w:hAnsi="Times New Roman" w:eastAsia="仿宋" w:cs="Times New Roman"/>
                <w:kern w:val="0"/>
                <w:sz w:val="24"/>
                <w:szCs w:val="24"/>
              </w:rPr>
            </w:pPr>
            <w:r>
              <w:rPr>
                <w:rFonts w:ascii="Times New Roman" w:hAnsi="Times New Roman" w:eastAsia="仿宋" w:cs="Times New Roman"/>
                <w:b/>
                <w:bCs/>
                <w:kern w:val="0"/>
                <w:sz w:val="24"/>
                <w:szCs w:val="24"/>
              </w:rPr>
              <w:t>厉行节约保障措施</w:t>
            </w:r>
          </w:p>
        </w:tc>
        <w:tc>
          <w:tcPr>
            <w:tcW w:w="1106" w:type="dxa"/>
            <w:tcBorders>
              <w:top w:val="nil"/>
              <w:left w:val="nil"/>
              <w:bottom w:val="single" w:color="auto" w:sz="4" w:space="0"/>
              <w:right w:val="single" w:color="auto" w:sz="4" w:space="0"/>
            </w:tcBorders>
            <w:noWrap w:val="0"/>
            <w:vAlign w:val="center"/>
          </w:tcPr>
          <w:p>
            <w:pPr>
              <w:widowControl/>
              <w:jc w:val="center"/>
              <w:rPr>
                <w:rFonts w:ascii="Times New Roman" w:hAnsi="Times New Roman" w:eastAsia="仿宋" w:cs="Times New Roman"/>
                <w:bCs/>
                <w:kern w:val="0"/>
                <w:sz w:val="24"/>
                <w:szCs w:val="24"/>
              </w:rPr>
            </w:pPr>
            <w:r>
              <w:rPr>
                <w:rFonts w:ascii="Times New Roman" w:hAnsi="Times New Roman" w:eastAsia="仿宋" w:cs="Times New Roman"/>
                <w:bCs/>
                <w:kern w:val="0"/>
                <w:sz w:val="24"/>
                <w:szCs w:val="24"/>
              </w:rPr>
              <w:t>批复</w:t>
            </w:r>
          </w:p>
          <w:p>
            <w:pPr>
              <w:widowControl/>
              <w:jc w:val="center"/>
              <w:rPr>
                <w:rFonts w:hint="eastAsia" w:ascii="Times New Roman" w:hAnsi="Times New Roman" w:eastAsia="仿宋" w:cs="Times New Roman"/>
                <w:bCs/>
                <w:kern w:val="0"/>
                <w:sz w:val="24"/>
                <w:szCs w:val="24"/>
                <w:lang w:eastAsia="zh-CN"/>
              </w:rPr>
            </w:pPr>
            <w:r>
              <w:rPr>
                <w:rFonts w:ascii="Times New Roman" w:hAnsi="Times New Roman" w:eastAsia="仿宋" w:cs="Times New Roman"/>
                <w:bCs/>
                <w:kern w:val="0"/>
                <w:sz w:val="24"/>
                <w:szCs w:val="24"/>
              </w:rPr>
              <w:t>规模</w:t>
            </w:r>
          </w:p>
          <w:p>
            <w:pPr>
              <w:widowControl/>
              <w:jc w:val="center"/>
              <w:rPr>
                <w:rFonts w:ascii="Times New Roman" w:hAnsi="Times New Roman" w:eastAsia="仿宋" w:cs="Times New Roman"/>
                <w:bCs/>
                <w:kern w:val="0"/>
                <w:sz w:val="24"/>
                <w:szCs w:val="24"/>
              </w:rPr>
            </w:pPr>
            <w:r>
              <w:rPr>
                <w:rFonts w:hint="eastAsia" w:ascii="Times New Roman" w:hAnsi="Times New Roman" w:eastAsia="仿宋" w:cs="Times New Roman"/>
                <w:bCs/>
                <w:kern w:val="0"/>
                <w:sz w:val="24"/>
                <w:szCs w:val="24"/>
              </w:rPr>
              <w:t>(</w:t>
            </w:r>
            <w:r>
              <w:rPr>
                <w:rFonts w:ascii="Times New Roman" w:hAnsi="Times New Roman" w:eastAsia="仿宋" w:cs="Times New Roman"/>
                <w:bCs/>
                <w:kern w:val="0"/>
                <w:sz w:val="24"/>
                <w:szCs w:val="24"/>
              </w:rPr>
              <w:t>㎡</w:t>
            </w:r>
            <w:r>
              <w:rPr>
                <w:rFonts w:hint="eastAsia" w:ascii="Times New Roman" w:hAnsi="Times New Roman" w:eastAsia="仿宋" w:cs="Times New Roman"/>
                <w:bCs/>
                <w:kern w:val="0"/>
                <w:sz w:val="24"/>
                <w:szCs w:val="24"/>
              </w:rPr>
              <w:t>)</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Times New Roman" w:hAnsi="Times New Roman" w:eastAsia="仿宋" w:cs="Times New Roman"/>
                <w:bCs/>
                <w:kern w:val="0"/>
                <w:sz w:val="24"/>
                <w:szCs w:val="24"/>
              </w:rPr>
            </w:pPr>
            <w:r>
              <w:rPr>
                <w:rFonts w:ascii="Times New Roman" w:hAnsi="Times New Roman" w:eastAsia="仿宋" w:cs="Times New Roman"/>
                <w:bCs/>
                <w:kern w:val="0"/>
                <w:sz w:val="24"/>
                <w:szCs w:val="24"/>
              </w:rPr>
              <w:t>实际规模</w:t>
            </w:r>
            <w:r>
              <w:rPr>
                <w:rFonts w:hint="eastAsia" w:ascii="Times New Roman" w:hAnsi="Times New Roman" w:eastAsia="仿宋" w:cs="Times New Roman"/>
                <w:bCs/>
                <w:kern w:val="0"/>
                <w:sz w:val="24"/>
                <w:szCs w:val="24"/>
              </w:rPr>
              <w:t>(</w:t>
            </w:r>
            <w:r>
              <w:rPr>
                <w:rFonts w:ascii="Times New Roman" w:hAnsi="Times New Roman" w:eastAsia="仿宋" w:cs="Times New Roman"/>
                <w:bCs/>
                <w:kern w:val="0"/>
                <w:sz w:val="24"/>
                <w:szCs w:val="24"/>
              </w:rPr>
              <w:t>㎡</w:t>
            </w:r>
            <w:r>
              <w:rPr>
                <w:rFonts w:hint="eastAsia" w:ascii="Times New Roman" w:hAnsi="Times New Roman" w:eastAsia="仿宋" w:cs="Times New Roman"/>
                <w:bCs/>
                <w:kern w:val="0"/>
                <w:sz w:val="24"/>
                <w:szCs w:val="24"/>
              </w:rPr>
              <w:t>)</w:t>
            </w:r>
          </w:p>
        </w:tc>
        <w:tc>
          <w:tcPr>
            <w:tcW w:w="934" w:type="dxa"/>
            <w:tcBorders>
              <w:top w:val="nil"/>
              <w:left w:val="nil"/>
              <w:bottom w:val="single" w:color="auto" w:sz="4" w:space="0"/>
              <w:right w:val="single" w:color="auto" w:sz="4" w:space="0"/>
            </w:tcBorders>
            <w:noWrap w:val="0"/>
            <w:vAlign w:val="center"/>
          </w:tcPr>
          <w:p>
            <w:pPr>
              <w:widowControl/>
              <w:jc w:val="center"/>
              <w:rPr>
                <w:rFonts w:ascii="Times New Roman" w:hAnsi="Times New Roman" w:eastAsia="仿宋" w:cs="Times New Roman"/>
                <w:bCs/>
                <w:kern w:val="0"/>
                <w:sz w:val="24"/>
                <w:szCs w:val="24"/>
              </w:rPr>
            </w:pPr>
            <w:r>
              <w:rPr>
                <w:rFonts w:ascii="Times New Roman" w:hAnsi="Times New Roman" w:eastAsia="仿宋" w:cs="Times New Roman"/>
                <w:bCs/>
                <w:kern w:val="0"/>
                <w:sz w:val="24"/>
                <w:szCs w:val="24"/>
              </w:rPr>
              <w:t>规模</w:t>
            </w:r>
          </w:p>
          <w:p>
            <w:pPr>
              <w:widowControl/>
              <w:jc w:val="center"/>
              <w:rPr>
                <w:rFonts w:ascii="Times New Roman" w:hAnsi="Times New Roman" w:eastAsia="仿宋" w:cs="Times New Roman"/>
                <w:bCs/>
                <w:kern w:val="0"/>
                <w:sz w:val="24"/>
                <w:szCs w:val="24"/>
              </w:rPr>
            </w:pPr>
            <w:r>
              <w:rPr>
                <w:rFonts w:ascii="Times New Roman" w:hAnsi="Times New Roman" w:eastAsia="仿宋" w:cs="Times New Roman"/>
                <w:bCs/>
                <w:kern w:val="0"/>
                <w:sz w:val="24"/>
                <w:szCs w:val="24"/>
              </w:rPr>
              <w:t>控制率</w:t>
            </w:r>
          </w:p>
        </w:tc>
        <w:tc>
          <w:tcPr>
            <w:tcW w:w="1050" w:type="dxa"/>
            <w:tcBorders>
              <w:top w:val="nil"/>
              <w:left w:val="nil"/>
              <w:bottom w:val="single" w:color="auto" w:sz="4" w:space="0"/>
              <w:right w:val="single" w:color="auto" w:sz="4" w:space="0"/>
            </w:tcBorders>
            <w:noWrap w:val="0"/>
            <w:vAlign w:val="center"/>
          </w:tcPr>
          <w:p>
            <w:pPr>
              <w:widowControl/>
              <w:jc w:val="center"/>
              <w:rPr>
                <w:rFonts w:ascii="Times New Roman" w:hAnsi="Times New Roman" w:eastAsia="仿宋" w:cs="Times New Roman"/>
                <w:bCs/>
                <w:kern w:val="0"/>
                <w:sz w:val="24"/>
                <w:szCs w:val="24"/>
              </w:rPr>
            </w:pPr>
            <w:r>
              <w:rPr>
                <w:rFonts w:ascii="Times New Roman" w:hAnsi="Times New Roman" w:eastAsia="仿宋" w:cs="Times New Roman"/>
                <w:bCs/>
                <w:kern w:val="0"/>
                <w:sz w:val="24"/>
                <w:szCs w:val="24"/>
              </w:rPr>
              <w:t>预算</w:t>
            </w:r>
          </w:p>
          <w:p>
            <w:pPr>
              <w:widowControl/>
              <w:jc w:val="center"/>
              <w:rPr>
                <w:rFonts w:ascii="Times New Roman" w:hAnsi="Times New Roman" w:eastAsia="仿宋" w:cs="Times New Roman"/>
                <w:bCs/>
                <w:kern w:val="0"/>
                <w:sz w:val="24"/>
                <w:szCs w:val="24"/>
              </w:rPr>
            </w:pPr>
            <w:r>
              <w:rPr>
                <w:rFonts w:ascii="Times New Roman" w:hAnsi="Times New Roman" w:eastAsia="仿宋" w:cs="Times New Roman"/>
                <w:bCs/>
                <w:kern w:val="0"/>
                <w:sz w:val="24"/>
                <w:szCs w:val="24"/>
              </w:rPr>
              <w:t>投资</w:t>
            </w:r>
          </w:p>
          <w:p>
            <w:pPr>
              <w:widowControl/>
              <w:jc w:val="center"/>
              <w:rPr>
                <w:rFonts w:hint="eastAsia" w:ascii="Times New Roman" w:hAnsi="Times New Roman" w:eastAsia="仿宋" w:cs="Times New Roman"/>
                <w:bCs/>
                <w:kern w:val="0"/>
                <w:sz w:val="24"/>
                <w:szCs w:val="24"/>
              </w:rPr>
            </w:pPr>
            <w:r>
              <w:rPr>
                <w:rFonts w:hint="eastAsia" w:ascii="Times New Roman" w:hAnsi="Times New Roman" w:eastAsia="仿宋" w:cs="Times New Roman"/>
                <w:bCs/>
                <w:kern w:val="0"/>
                <w:sz w:val="24"/>
                <w:szCs w:val="24"/>
              </w:rPr>
              <w:t>(</w:t>
            </w:r>
            <w:r>
              <w:rPr>
                <w:rFonts w:ascii="Times New Roman" w:hAnsi="Times New Roman" w:eastAsia="仿宋" w:cs="Times New Roman"/>
                <w:bCs/>
                <w:kern w:val="0"/>
                <w:sz w:val="24"/>
                <w:szCs w:val="24"/>
              </w:rPr>
              <w:t>万元</w:t>
            </w:r>
            <w:r>
              <w:rPr>
                <w:rFonts w:hint="eastAsia" w:ascii="Times New Roman" w:hAnsi="Times New Roman" w:eastAsia="仿宋" w:cs="Times New Roman"/>
                <w:bCs/>
                <w:kern w:val="0"/>
                <w:sz w:val="24"/>
                <w:szCs w:val="24"/>
              </w:rPr>
              <w:t>)</w:t>
            </w:r>
          </w:p>
        </w:tc>
        <w:tc>
          <w:tcPr>
            <w:tcW w:w="1009" w:type="dxa"/>
            <w:tcBorders>
              <w:top w:val="nil"/>
              <w:left w:val="nil"/>
              <w:bottom w:val="single" w:color="auto" w:sz="4" w:space="0"/>
              <w:right w:val="single" w:color="auto" w:sz="4" w:space="0"/>
            </w:tcBorders>
            <w:noWrap w:val="0"/>
            <w:vAlign w:val="center"/>
          </w:tcPr>
          <w:p>
            <w:pPr>
              <w:widowControl/>
              <w:jc w:val="center"/>
              <w:rPr>
                <w:rFonts w:ascii="Times New Roman" w:hAnsi="Times New Roman" w:eastAsia="仿宋" w:cs="Times New Roman"/>
                <w:bCs/>
                <w:kern w:val="0"/>
                <w:sz w:val="24"/>
                <w:szCs w:val="24"/>
              </w:rPr>
            </w:pPr>
            <w:r>
              <w:rPr>
                <w:rFonts w:ascii="Times New Roman" w:hAnsi="Times New Roman" w:eastAsia="仿宋" w:cs="Times New Roman"/>
                <w:bCs/>
                <w:kern w:val="0"/>
                <w:sz w:val="24"/>
                <w:szCs w:val="24"/>
              </w:rPr>
              <w:t>实际</w:t>
            </w:r>
          </w:p>
          <w:p>
            <w:pPr>
              <w:widowControl/>
              <w:jc w:val="center"/>
              <w:rPr>
                <w:rFonts w:ascii="Times New Roman" w:hAnsi="Times New Roman" w:eastAsia="仿宋" w:cs="Times New Roman"/>
                <w:bCs/>
                <w:kern w:val="0"/>
                <w:sz w:val="24"/>
                <w:szCs w:val="24"/>
              </w:rPr>
            </w:pPr>
            <w:r>
              <w:rPr>
                <w:rFonts w:ascii="Times New Roman" w:hAnsi="Times New Roman" w:eastAsia="仿宋" w:cs="Times New Roman"/>
                <w:bCs/>
                <w:kern w:val="0"/>
                <w:sz w:val="24"/>
                <w:szCs w:val="24"/>
              </w:rPr>
              <w:t>投资</w:t>
            </w:r>
          </w:p>
          <w:p>
            <w:pPr>
              <w:widowControl/>
              <w:jc w:val="center"/>
              <w:rPr>
                <w:rFonts w:hint="eastAsia" w:ascii="Times New Roman" w:hAnsi="Times New Roman" w:eastAsia="仿宋" w:cs="Times New Roman"/>
                <w:bCs/>
                <w:kern w:val="0"/>
                <w:sz w:val="24"/>
                <w:szCs w:val="24"/>
              </w:rPr>
            </w:pPr>
            <w:r>
              <w:rPr>
                <w:rFonts w:hint="eastAsia" w:ascii="Times New Roman" w:hAnsi="Times New Roman" w:eastAsia="仿宋" w:cs="Times New Roman"/>
                <w:bCs/>
                <w:kern w:val="0"/>
                <w:sz w:val="24"/>
                <w:szCs w:val="24"/>
              </w:rPr>
              <w:t>(</w:t>
            </w:r>
            <w:r>
              <w:rPr>
                <w:rFonts w:ascii="Times New Roman" w:hAnsi="Times New Roman" w:eastAsia="仿宋" w:cs="Times New Roman"/>
                <w:bCs/>
                <w:kern w:val="0"/>
                <w:sz w:val="24"/>
                <w:szCs w:val="24"/>
              </w:rPr>
              <w:t>万元</w:t>
            </w:r>
            <w:r>
              <w:rPr>
                <w:rFonts w:hint="eastAsia" w:ascii="Times New Roman" w:hAnsi="Times New Roman" w:eastAsia="仿宋" w:cs="Times New Roman"/>
                <w:bCs/>
                <w:kern w:val="0"/>
                <w:sz w:val="24"/>
                <w:szCs w:val="24"/>
              </w:rPr>
              <w:t>)</w:t>
            </w:r>
          </w:p>
        </w:tc>
        <w:tc>
          <w:tcPr>
            <w:tcW w:w="1736" w:type="dxa"/>
            <w:tcBorders>
              <w:top w:val="nil"/>
              <w:left w:val="nil"/>
              <w:bottom w:val="single" w:color="auto" w:sz="4" w:space="0"/>
              <w:right w:val="single" w:color="auto" w:sz="4" w:space="0"/>
            </w:tcBorders>
            <w:noWrap w:val="0"/>
            <w:vAlign w:val="center"/>
          </w:tcPr>
          <w:p>
            <w:pPr>
              <w:widowControl/>
              <w:jc w:val="center"/>
              <w:rPr>
                <w:rFonts w:ascii="Times New Roman" w:hAnsi="Times New Roman" w:eastAsia="仿宋" w:cs="Times New Roman"/>
                <w:bCs/>
                <w:kern w:val="0"/>
                <w:sz w:val="24"/>
                <w:szCs w:val="24"/>
              </w:rPr>
            </w:pPr>
            <w:r>
              <w:rPr>
                <w:rFonts w:ascii="Times New Roman" w:hAnsi="Times New Roman" w:eastAsia="仿宋" w:cs="Times New Roman"/>
                <w:bCs/>
                <w:kern w:val="0"/>
                <w:sz w:val="24"/>
                <w:szCs w:val="24"/>
              </w:rPr>
              <w:t>投资</w:t>
            </w:r>
          </w:p>
          <w:p>
            <w:pPr>
              <w:widowControl/>
              <w:jc w:val="center"/>
              <w:rPr>
                <w:rFonts w:ascii="Times New Roman" w:hAnsi="Times New Roman" w:eastAsia="仿宋" w:cs="Times New Roman"/>
                <w:bCs/>
                <w:kern w:val="0"/>
                <w:sz w:val="24"/>
                <w:szCs w:val="24"/>
              </w:rPr>
            </w:pPr>
            <w:r>
              <w:rPr>
                <w:rFonts w:ascii="Times New Roman" w:hAnsi="Times New Roman" w:eastAsia="仿宋" w:cs="Times New Roman"/>
                <w:bCs/>
                <w:kern w:val="0"/>
                <w:sz w:val="24"/>
                <w:szCs w:val="24"/>
              </w:rPr>
              <w:t>概算</w:t>
            </w:r>
          </w:p>
          <w:p>
            <w:pPr>
              <w:widowControl/>
              <w:jc w:val="center"/>
              <w:rPr>
                <w:rFonts w:ascii="Times New Roman" w:hAnsi="Times New Roman" w:eastAsia="仿宋" w:cs="Times New Roman"/>
                <w:bCs/>
                <w:kern w:val="0"/>
                <w:sz w:val="24"/>
                <w:szCs w:val="24"/>
              </w:rPr>
            </w:pPr>
            <w:r>
              <w:rPr>
                <w:rFonts w:ascii="Times New Roman" w:hAnsi="Times New Roman" w:eastAsia="仿宋" w:cs="Times New Roman"/>
                <w:bCs/>
                <w:kern w:val="0"/>
                <w:sz w:val="24"/>
                <w:szCs w:val="24"/>
              </w:rPr>
              <w:t>控制率</w:t>
            </w:r>
          </w:p>
        </w:tc>
      </w:tr>
      <w:tr>
        <w:tblPrEx>
          <w:tblCellMar>
            <w:top w:w="0" w:type="dxa"/>
            <w:left w:w="108" w:type="dxa"/>
            <w:bottom w:w="0" w:type="dxa"/>
            <w:right w:w="108" w:type="dxa"/>
          </w:tblCellMar>
        </w:tblPrEx>
        <w:trPr>
          <w:trHeight w:val="177" w:hRule="atLeast"/>
          <w:jc w:val="center"/>
        </w:trPr>
        <w:tc>
          <w:tcPr>
            <w:tcW w:w="3322" w:type="dxa"/>
            <w:vMerge w:val="continue"/>
            <w:tcBorders>
              <w:left w:val="single" w:color="auto" w:sz="4" w:space="0"/>
              <w:right w:val="single" w:color="auto" w:sz="4" w:space="0"/>
            </w:tcBorders>
            <w:noWrap w:val="0"/>
            <w:vAlign w:val="center"/>
          </w:tcPr>
          <w:p>
            <w:pPr>
              <w:widowControl/>
              <w:jc w:val="center"/>
              <w:rPr>
                <w:rFonts w:ascii="Times New Roman" w:hAnsi="Times New Roman" w:eastAsia="仿宋" w:cs="Times New Roman"/>
                <w:kern w:val="0"/>
                <w:sz w:val="24"/>
                <w:szCs w:val="24"/>
              </w:rPr>
            </w:pPr>
          </w:p>
        </w:tc>
        <w:tc>
          <w:tcPr>
            <w:tcW w:w="1106" w:type="dxa"/>
            <w:tcBorders>
              <w:top w:val="nil"/>
              <w:left w:val="nil"/>
              <w:bottom w:val="single" w:color="auto" w:sz="4" w:space="0"/>
              <w:right w:val="single" w:color="auto" w:sz="4" w:space="0"/>
            </w:tcBorders>
            <w:noWrap w:val="0"/>
            <w:vAlign w:val="center"/>
          </w:tcPr>
          <w:p>
            <w:pPr>
              <w:widowControl/>
              <w:jc w:val="center"/>
              <w:rPr>
                <w:rFonts w:hint="eastAsia" w:ascii="Times New Roman" w:hAnsi="Times New Roman" w:eastAsia="仿宋" w:cs="Times New Roman"/>
                <w:kern w:val="0"/>
                <w:sz w:val="24"/>
                <w:szCs w:val="24"/>
                <w:lang w:val="en-US" w:eastAsia="zh-CN"/>
              </w:rPr>
            </w:pPr>
            <w:r>
              <w:rPr>
                <w:rFonts w:ascii="Times New Roman" w:hAnsi="Times New Roman" w:eastAsia="仿宋" w:cs="Times New Roman"/>
                <w:kern w:val="0"/>
                <w:sz w:val="24"/>
                <w:szCs w:val="24"/>
              </w:rPr>
              <w:t>　</w:t>
            </w:r>
            <w:r>
              <w:rPr>
                <w:rFonts w:hint="eastAsia" w:ascii="Times New Roman" w:hAnsi="Times New Roman" w:eastAsia="仿宋" w:cs="Times New Roman"/>
                <w:kern w:val="0"/>
                <w:sz w:val="24"/>
                <w:szCs w:val="24"/>
                <w:lang w:val="en-US" w:eastAsia="zh-CN"/>
              </w:rPr>
              <w:t>0</w:t>
            </w:r>
          </w:p>
        </w:tc>
        <w:tc>
          <w:tcPr>
            <w:tcW w:w="750" w:type="dxa"/>
            <w:tcBorders>
              <w:top w:val="nil"/>
              <w:left w:val="nil"/>
              <w:bottom w:val="single" w:color="auto" w:sz="4" w:space="0"/>
              <w:right w:val="single" w:color="auto" w:sz="4" w:space="0"/>
            </w:tcBorders>
            <w:noWrap w:val="0"/>
            <w:vAlign w:val="center"/>
          </w:tcPr>
          <w:p>
            <w:pPr>
              <w:widowControl/>
              <w:jc w:val="left"/>
              <w:rPr>
                <w:rFonts w:hint="eastAsia" w:ascii="Times New Roman" w:hAnsi="Times New Roman" w:eastAsia="仿宋" w:cs="Times New Roman"/>
                <w:kern w:val="0"/>
                <w:sz w:val="24"/>
                <w:szCs w:val="24"/>
                <w:lang w:val="en-US" w:eastAsia="zh-CN"/>
              </w:rPr>
            </w:pPr>
            <w:r>
              <w:rPr>
                <w:rFonts w:ascii="Times New Roman" w:hAnsi="Times New Roman" w:eastAsia="仿宋" w:cs="Times New Roman"/>
                <w:kern w:val="0"/>
                <w:sz w:val="24"/>
                <w:szCs w:val="24"/>
              </w:rPr>
              <w:t>　</w:t>
            </w:r>
            <w:r>
              <w:rPr>
                <w:rFonts w:hint="eastAsia" w:ascii="Times New Roman" w:hAnsi="Times New Roman" w:eastAsia="仿宋" w:cs="Times New Roman"/>
                <w:kern w:val="0"/>
                <w:sz w:val="24"/>
                <w:szCs w:val="24"/>
                <w:lang w:val="en-US" w:eastAsia="zh-CN"/>
              </w:rPr>
              <w:t>0</w:t>
            </w:r>
          </w:p>
        </w:tc>
        <w:tc>
          <w:tcPr>
            <w:tcW w:w="934" w:type="dxa"/>
            <w:tcBorders>
              <w:top w:val="nil"/>
              <w:left w:val="nil"/>
              <w:bottom w:val="single" w:color="auto" w:sz="4" w:space="0"/>
              <w:right w:val="single" w:color="auto" w:sz="4" w:space="0"/>
            </w:tcBorders>
            <w:noWrap w:val="0"/>
            <w:vAlign w:val="center"/>
          </w:tcPr>
          <w:p>
            <w:pPr>
              <w:widowControl/>
              <w:jc w:val="left"/>
              <w:rPr>
                <w:rFonts w:hint="eastAsia" w:ascii="Times New Roman" w:hAnsi="Times New Roman" w:eastAsia="仿宋" w:cs="Times New Roman"/>
                <w:kern w:val="0"/>
                <w:sz w:val="24"/>
                <w:szCs w:val="24"/>
                <w:lang w:val="en-US" w:eastAsia="zh-CN"/>
              </w:rPr>
            </w:pPr>
            <w:r>
              <w:rPr>
                <w:rFonts w:ascii="Times New Roman" w:hAnsi="Times New Roman" w:eastAsia="仿宋" w:cs="Times New Roman"/>
                <w:kern w:val="0"/>
                <w:sz w:val="24"/>
                <w:szCs w:val="24"/>
              </w:rPr>
              <w:t>　</w:t>
            </w:r>
            <w:r>
              <w:rPr>
                <w:rFonts w:hint="eastAsia" w:ascii="Times New Roman" w:hAnsi="Times New Roman" w:eastAsia="仿宋" w:cs="Times New Roman"/>
                <w:kern w:val="0"/>
                <w:sz w:val="24"/>
                <w:szCs w:val="24"/>
                <w:lang w:val="en-US" w:eastAsia="zh-CN"/>
              </w:rPr>
              <w:t>0</w:t>
            </w:r>
          </w:p>
        </w:tc>
        <w:tc>
          <w:tcPr>
            <w:tcW w:w="1050" w:type="dxa"/>
            <w:tcBorders>
              <w:top w:val="nil"/>
              <w:left w:val="nil"/>
              <w:bottom w:val="single" w:color="auto" w:sz="4" w:space="0"/>
              <w:right w:val="single" w:color="auto" w:sz="4" w:space="0"/>
            </w:tcBorders>
            <w:noWrap w:val="0"/>
            <w:vAlign w:val="center"/>
          </w:tcPr>
          <w:p>
            <w:pPr>
              <w:widowControl/>
              <w:jc w:val="left"/>
              <w:rPr>
                <w:rFonts w:hint="eastAsia" w:ascii="Times New Roman" w:hAnsi="Times New Roman" w:eastAsia="仿宋" w:cs="Times New Roman"/>
                <w:kern w:val="0"/>
                <w:sz w:val="24"/>
                <w:szCs w:val="24"/>
                <w:lang w:val="en-US" w:eastAsia="zh-CN"/>
              </w:rPr>
            </w:pPr>
            <w:r>
              <w:rPr>
                <w:rFonts w:ascii="Times New Roman" w:hAnsi="Times New Roman" w:eastAsia="仿宋" w:cs="Times New Roman"/>
                <w:kern w:val="0"/>
                <w:sz w:val="24"/>
                <w:szCs w:val="24"/>
              </w:rPr>
              <w:t>　</w:t>
            </w:r>
            <w:r>
              <w:rPr>
                <w:rFonts w:hint="eastAsia" w:ascii="Times New Roman" w:hAnsi="Times New Roman" w:eastAsia="仿宋" w:cs="Times New Roman"/>
                <w:kern w:val="0"/>
                <w:sz w:val="24"/>
                <w:szCs w:val="24"/>
                <w:lang w:val="en-US" w:eastAsia="zh-CN"/>
              </w:rPr>
              <w:t>0</w:t>
            </w:r>
          </w:p>
        </w:tc>
        <w:tc>
          <w:tcPr>
            <w:tcW w:w="1009" w:type="dxa"/>
            <w:tcBorders>
              <w:top w:val="nil"/>
              <w:left w:val="nil"/>
              <w:bottom w:val="single" w:color="auto" w:sz="4" w:space="0"/>
              <w:right w:val="single" w:color="auto" w:sz="4" w:space="0"/>
            </w:tcBorders>
            <w:noWrap w:val="0"/>
            <w:vAlign w:val="center"/>
          </w:tcPr>
          <w:p>
            <w:pPr>
              <w:widowControl/>
              <w:jc w:val="left"/>
              <w:rPr>
                <w:rFonts w:hint="eastAsia" w:ascii="Times New Roman" w:hAnsi="Times New Roman" w:eastAsia="仿宋" w:cs="Times New Roman"/>
                <w:kern w:val="0"/>
                <w:sz w:val="24"/>
                <w:szCs w:val="24"/>
                <w:lang w:val="en-US" w:eastAsia="zh-CN"/>
              </w:rPr>
            </w:pPr>
            <w:r>
              <w:rPr>
                <w:rFonts w:ascii="Times New Roman" w:hAnsi="Times New Roman" w:eastAsia="仿宋" w:cs="Times New Roman"/>
                <w:kern w:val="0"/>
                <w:sz w:val="24"/>
                <w:szCs w:val="24"/>
              </w:rPr>
              <w:t>　</w:t>
            </w:r>
            <w:r>
              <w:rPr>
                <w:rFonts w:hint="eastAsia" w:ascii="Times New Roman" w:hAnsi="Times New Roman" w:eastAsia="仿宋" w:cs="Times New Roman"/>
                <w:kern w:val="0"/>
                <w:sz w:val="24"/>
                <w:szCs w:val="24"/>
                <w:lang w:val="en-US" w:eastAsia="zh-CN"/>
              </w:rPr>
              <w:t>0</w:t>
            </w:r>
          </w:p>
        </w:tc>
        <w:tc>
          <w:tcPr>
            <w:tcW w:w="1736" w:type="dxa"/>
            <w:tcBorders>
              <w:top w:val="nil"/>
              <w:left w:val="nil"/>
              <w:bottom w:val="single" w:color="auto" w:sz="4" w:space="0"/>
              <w:right w:val="single" w:color="auto" w:sz="4" w:space="0"/>
            </w:tcBorders>
            <w:noWrap w:val="0"/>
            <w:vAlign w:val="center"/>
          </w:tcPr>
          <w:p>
            <w:pPr>
              <w:widowControl/>
              <w:jc w:val="left"/>
              <w:rPr>
                <w:rFonts w:hint="eastAsia" w:ascii="Times New Roman" w:hAnsi="Times New Roman" w:eastAsia="仿宋" w:cs="Times New Roman"/>
                <w:kern w:val="0"/>
                <w:sz w:val="24"/>
                <w:szCs w:val="24"/>
                <w:lang w:val="en-US" w:eastAsia="zh-CN"/>
              </w:rPr>
            </w:pPr>
            <w:r>
              <w:rPr>
                <w:rFonts w:ascii="Times New Roman" w:hAnsi="Times New Roman" w:eastAsia="仿宋" w:cs="Times New Roman"/>
                <w:kern w:val="0"/>
                <w:sz w:val="24"/>
                <w:szCs w:val="24"/>
              </w:rPr>
              <w:t>　</w:t>
            </w:r>
            <w:r>
              <w:rPr>
                <w:rFonts w:hint="eastAsia" w:ascii="Times New Roman" w:hAnsi="Times New Roman" w:eastAsia="仿宋" w:cs="Times New Roman"/>
                <w:kern w:val="0"/>
                <w:sz w:val="24"/>
                <w:szCs w:val="24"/>
                <w:lang w:val="en-US" w:eastAsia="zh-CN"/>
              </w:rPr>
              <w:t>0</w:t>
            </w:r>
          </w:p>
        </w:tc>
      </w:tr>
      <w:tr>
        <w:tblPrEx>
          <w:tblCellMar>
            <w:top w:w="0" w:type="dxa"/>
            <w:left w:w="108" w:type="dxa"/>
            <w:bottom w:w="0" w:type="dxa"/>
            <w:right w:w="108" w:type="dxa"/>
          </w:tblCellMar>
        </w:tblPrEx>
        <w:trPr>
          <w:trHeight w:val="979" w:hRule="atLeast"/>
          <w:jc w:val="center"/>
        </w:trPr>
        <w:tc>
          <w:tcPr>
            <w:tcW w:w="3322" w:type="dxa"/>
            <w:tcBorders>
              <w:top w:val="nil"/>
              <w:left w:val="single" w:color="auto" w:sz="4" w:space="0"/>
              <w:bottom w:val="single" w:color="auto" w:sz="4" w:space="0"/>
              <w:right w:val="single" w:color="auto" w:sz="4" w:space="0"/>
            </w:tcBorders>
            <w:noWrap w:val="0"/>
            <w:vAlign w:val="center"/>
          </w:tcPr>
          <w:p>
            <w:pPr>
              <w:widowControl/>
              <w:jc w:val="center"/>
              <w:rPr>
                <w:rFonts w:ascii="Times New Roman" w:hAnsi="Times New Roman" w:eastAsia="仿宋" w:cs="Times New Roman"/>
                <w:kern w:val="0"/>
                <w:sz w:val="24"/>
                <w:szCs w:val="24"/>
              </w:rPr>
            </w:pPr>
          </w:p>
        </w:tc>
        <w:tc>
          <w:tcPr>
            <w:tcW w:w="6585" w:type="dxa"/>
            <w:gridSpan w:val="6"/>
            <w:tcBorders>
              <w:top w:val="single" w:color="auto" w:sz="4" w:space="0"/>
              <w:left w:val="nil"/>
              <w:bottom w:val="single" w:color="auto" w:sz="4" w:space="0"/>
              <w:right w:val="single" w:color="000000" w:sz="4" w:space="0"/>
            </w:tcBorders>
            <w:noWrap w:val="0"/>
            <w:vAlign w:val="center"/>
          </w:tcPr>
          <w:p>
            <w:pPr>
              <w:widowControl/>
              <w:numPr>
                <w:ilvl w:val="0"/>
                <w:numId w:val="3"/>
              </w:numPr>
              <w:jc w:val="center"/>
              <w:rPr>
                <w:rFonts w:hint="eastAsia" w:ascii="微软雅黑" w:hAnsi="微软雅黑" w:eastAsia="微软雅黑" w:cs="微软雅黑"/>
                <w:i w:val="0"/>
                <w:iCs w:val="0"/>
                <w:caps w:val="0"/>
                <w:color w:val="333333"/>
                <w:spacing w:val="0"/>
                <w:sz w:val="19"/>
                <w:szCs w:val="19"/>
                <w:shd w:val="clear" w:fill="FFFFFF"/>
                <w:lang w:val="en-US" w:eastAsia="zh-CN"/>
              </w:rPr>
            </w:pPr>
            <w:r>
              <w:rPr>
                <w:rFonts w:hint="eastAsia" w:ascii="微软雅黑" w:hAnsi="微软雅黑" w:eastAsia="微软雅黑" w:cs="微软雅黑"/>
                <w:i w:val="0"/>
                <w:iCs w:val="0"/>
                <w:caps w:val="0"/>
                <w:color w:val="333333"/>
                <w:spacing w:val="0"/>
                <w:sz w:val="19"/>
                <w:szCs w:val="19"/>
                <w:shd w:val="clear" w:fill="FFFFFF"/>
              </w:rPr>
              <w:t>严格执行招待费开支范围、开支标准等有关规定，不搞超规格</w:t>
            </w:r>
            <w:r>
              <w:rPr>
                <w:rFonts w:hint="eastAsia" w:ascii="微软雅黑" w:hAnsi="微软雅黑" w:eastAsia="微软雅黑" w:cs="微软雅黑"/>
                <w:i w:val="0"/>
                <w:iCs w:val="0"/>
                <w:caps w:val="0"/>
                <w:color w:val="333333"/>
                <w:spacing w:val="0"/>
                <w:sz w:val="19"/>
                <w:szCs w:val="19"/>
                <w:shd w:val="clear" w:fill="FFFFFF"/>
                <w:lang w:val="en-US" w:eastAsia="zh-CN"/>
              </w:rPr>
              <w:t>接待。</w:t>
            </w:r>
          </w:p>
          <w:p>
            <w:pPr>
              <w:widowControl/>
              <w:numPr>
                <w:ilvl w:val="0"/>
                <w:numId w:val="3"/>
              </w:numPr>
              <w:jc w:val="center"/>
              <w:rPr>
                <w:rFonts w:hint="eastAsia" w:ascii="Times New Roman" w:hAnsi="Times New Roman" w:eastAsia="仿宋" w:cs="Times New Roman"/>
                <w:kern w:val="0"/>
                <w:sz w:val="24"/>
                <w:szCs w:val="24"/>
                <w:lang w:eastAsia="zh-CN"/>
              </w:rPr>
            </w:pPr>
            <w:r>
              <w:rPr>
                <w:rFonts w:hint="eastAsia" w:ascii="微软雅黑" w:hAnsi="微软雅黑" w:eastAsia="微软雅黑" w:cs="微软雅黑"/>
                <w:i w:val="0"/>
                <w:iCs w:val="0"/>
                <w:caps w:val="0"/>
                <w:color w:val="333333"/>
                <w:spacing w:val="0"/>
                <w:sz w:val="19"/>
                <w:szCs w:val="19"/>
                <w:shd w:val="clear" w:fill="FFFFFF"/>
              </w:rPr>
              <w:t>节约用电，做到出门随手关灯，杜绝“白昼灯”等能耗空放现象；计算机、打印机、复印机等电器设备不使用时要及时关机，下班前切断电源开关；加强用水设备的日常维护管理，防止跑冒滴漏，避免“长流水”现象　</w:t>
            </w:r>
            <w:r>
              <w:rPr>
                <w:rFonts w:hint="eastAsia" w:ascii="微软雅黑" w:hAnsi="微软雅黑" w:eastAsia="微软雅黑" w:cs="微软雅黑"/>
                <w:i w:val="0"/>
                <w:iCs w:val="0"/>
                <w:caps w:val="0"/>
                <w:color w:val="333333"/>
                <w:spacing w:val="0"/>
                <w:sz w:val="19"/>
                <w:szCs w:val="19"/>
                <w:shd w:val="clear" w:fill="FFFFFF"/>
                <w:lang w:eastAsia="zh-CN"/>
              </w:rPr>
              <w:t>。</w:t>
            </w:r>
          </w:p>
          <w:p>
            <w:pPr>
              <w:widowControl/>
              <w:numPr>
                <w:ilvl w:val="0"/>
                <w:numId w:val="0"/>
              </w:numPr>
              <w:ind w:leftChars="0"/>
              <w:jc w:val="both"/>
              <w:rPr>
                <w:rFonts w:hint="eastAsia" w:ascii="Times New Roman" w:hAnsi="Times New Roman" w:eastAsia="仿宋" w:cs="Times New Roman"/>
                <w:kern w:val="0"/>
                <w:sz w:val="24"/>
                <w:szCs w:val="24"/>
                <w:lang w:eastAsia="zh-CN"/>
              </w:rPr>
            </w:pPr>
            <w:r>
              <w:rPr>
                <w:rFonts w:hint="eastAsia" w:ascii="Times New Roman" w:hAnsi="Times New Roman" w:eastAsia="仿宋" w:cs="Times New Roman"/>
                <w:kern w:val="0"/>
                <w:sz w:val="24"/>
                <w:szCs w:val="24"/>
                <w:lang w:val="en-US" w:eastAsia="zh-CN"/>
              </w:rPr>
              <w:t>3、</w:t>
            </w:r>
            <w:r>
              <w:rPr>
                <w:rFonts w:hint="eastAsia" w:ascii="微软雅黑" w:hAnsi="微软雅黑" w:eastAsia="微软雅黑" w:cs="微软雅黑"/>
                <w:i w:val="0"/>
                <w:iCs w:val="0"/>
                <w:caps w:val="0"/>
                <w:color w:val="333333"/>
                <w:spacing w:val="0"/>
                <w:sz w:val="19"/>
                <w:szCs w:val="19"/>
                <w:shd w:val="clear" w:fill="FFFFFF"/>
              </w:rPr>
              <w:t>要倡导“厉行节约、反对浪费”文明用餐</w:t>
            </w:r>
            <w:r>
              <w:rPr>
                <w:rFonts w:hint="eastAsia" w:ascii="微软雅黑" w:hAnsi="微软雅黑" w:eastAsia="微软雅黑" w:cs="微软雅黑"/>
                <w:i w:val="0"/>
                <w:iCs w:val="0"/>
                <w:caps w:val="0"/>
                <w:color w:val="333333"/>
                <w:spacing w:val="0"/>
                <w:sz w:val="19"/>
                <w:szCs w:val="19"/>
                <w:shd w:val="clear" w:fill="FFFFFF"/>
                <w:lang w:eastAsia="zh-CN"/>
              </w:rPr>
              <w:t>，</w:t>
            </w:r>
            <w:r>
              <w:rPr>
                <w:rFonts w:hint="eastAsia" w:ascii="微软雅黑" w:hAnsi="微软雅黑" w:eastAsia="微软雅黑" w:cs="微软雅黑"/>
                <w:i w:val="0"/>
                <w:iCs w:val="0"/>
                <w:caps w:val="0"/>
                <w:color w:val="333333"/>
                <w:spacing w:val="0"/>
                <w:sz w:val="19"/>
                <w:szCs w:val="19"/>
                <w:shd w:val="clear" w:fill="FFFFFF"/>
              </w:rPr>
              <w:t>全面开展“光盘行动”</w:t>
            </w:r>
            <w:r>
              <w:rPr>
                <w:rFonts w:hint="eastAsia" w:ascii="Times New Roman" w:hAnsi="Times New Roman" w:eastAsia="仿宋" w:cs="Times New Roman"/>
                <w:kern w:val="0"/>
                <w:sz w:val="24"/>
                <w:szCs w:val="24"/>
                <w:lang w:eastAsia="zh-CN"/>
              </w:rPr>
              <w:t>。</w:t>
            </w:r>
          </w:p>
        </w:tc>
      </w:tr>
    </w:tbl>
    <w:p>
      <w:pPr>
        <w:widowControl/>
        <w:jc w:val="left"/>
        <w:rPr>
          <w:rFonts w:ascii="Times New Roman" w:hAnsi="Times New Roman" w:eastAsia="仿宋" w:cs="Times New Roman"/>
          <w:kern w:val="0"/>
          <w:sz w:val="24"/>
          <w:szCs w:val="24"/>
        </w:rPr>
      </w:pPr>
    </w:p>
    <w:p>
      <w:pPr>
        <w:widowControl/>
        <w:ind w:firstLine="480" w:firstLineChars="200"/>
        <w:jc w:val="left"/>
        <w:rPr>
          <w:rFonts w:ascii="Times New Roman" w:hAnsi="Times New Roman" w:eastAsia="仿宋" w:cs="Times New Roman"/>
          <w:kern w:val="0"/>
          <w:sz w:val="24"/>
          <w:szCs w:val="24"/>
        </w:rPr>
      </w:pPr>
      <w:r>
        <w:rPr>
          <w:rFonts w:ascii="Times New Roman" w:hAnsi="Times New Roman" w:eastAsia="仿宋" w:cs="Times New Roman"/>
          <w:kern w:val="0"/>
          <w:sz w:val="24"/>
          <w:szCs w:val="24"/>
        </w:rPr>
        <w:t>说明：“项目支出”需要填报所有项目情况，包括业务工作项目、运行维护项目等；“公用经费”填报基本支出中的一般商品和服务支出。</w:t>
      </w:r>
    </w:p>
    <w:p>
      <w:pPr>
        <w:widowControl/>
        <w:jc w:val="left"/>
        <w:rPr>
          <w:rFonts w:ascii="Times New Roman" w:hAnsi="Times New Roman" w:eastAsia="仿宋" w:cs="Times New Roman"/>
          <w:kern w:val="0"/>
          <w:sz w:val="24"/>
          <w:szCs w:val="24"/>
        </w:rPr>
      </w:pPr>
    </w:p>
    <w:p>
      <w:pPr>
        <w:widowControl/>
        <w:jc w:val="left"/>
        <w:rPr>
          <w:rFonts w:ascii="Times New Roman" w:hAnsi="Times New Roman" w:eastAsia="仿宋" w:cs="Times New Roman"/>
          <w:kern w:val="0"/>
          <w:sz w:val="24"/>
          <w:szCs w:val="24"/>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_GBK">
    <w:altName w:val="微软雅黑"/>
    <w:panose1 w:val="03000509000000000000"/>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E5AEEB"/>
    <w:multiLevelType w:val="singleLevel"/>
    <w:tmpl w:val="BAE5AEEB"/>
    <w:lvl w:ilvl="0" w:tentative="0">
      <w:start w:val="2"/>
      <w:numFmt w:val="chineseCounting"/>
      <w:suff w:val="nothing"/>
      <w:lvlText w:val="%1、"/>
      <w:lvlJc w:val="left"/>
      <w:rPr>
        <w:rFonts w:hint="eastAsia"/>
      </w:rPr>
    </w:lvl>
  </w:abstractNum>
  <w:abstractNum w:abstractNumId="1">
    <w:nsid w:val="11C74CDC"/>
    <w:multiLevelType w:val="singleLevel"/>
    <w:tmpl w:val="11C74CDC"/>
    <w:lvl w:ilvl="0" w:tentative="0">
      <w:start w:val="1"/>
      <w:numFmt w:val="decimal"/>
      <w:suff w:val="nothing"/>
      <w:lvlText w:val="%1、"/>
      <w:lvlJc w:val="left"/>
    </w:lvl>
  </w:abstractNum>
  <w:abstractNum w:abstractNumId="2">
    <w:nsid w:val="3EF61C99"/>
    <w:multiLevelType w:val="multilevel"/>
    <w:tmpl w:val="3EF61C99"/>
    <w:lvl w:ilvl="0" w:tentative="0">
      <w:start w:val="2"/>
      <w:numFmt w:val="chineseCounting"/>
      <w:suff w:val="nothing"/>
      <w:lvlText w:val="（%1）"/>
      <w:lvlJc w:val="left"/>
      <w:pPr>
        <w:ind w:left="0" w:firstLine="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00C76F49"/>
    <w:rsid w:val="000E10FB"/>
    <w:rsid w:val="003C28DE"/>
    <w:rsid w:val="00757553"/>
    <w:rsid w:val="00A34A58"/>
    <w:rsid w:val="00A879DE"/>
    <w:rsid w:val="00C76F49"/>
    <w:rsid w:val="00FA00A3"/>
    <w:rsid w:val="017F0673"/>
    <w:rsid w:val="02EE513F"/>
    <w:rsid w:val="04F35535"/>
    <w:rsid w:val="05E36A39"/>
    <w:rsid w:val="06792C25"/>
    <w:rsid w:val="07E37AE3"/>
    <w:rsid w:val="088766C0"/>
    <w:rsid w:val="09B74D83"/>
    <w:rsid w:val="09D83C22"/>
    <w:rsid w:val="0A1421D6"/>
    <w:rsid w:val="0A375EC4"/>
    <w:rsid w:val="0A602ED9"/>
    <w:rsid w:val="0A670558"/>
    <w:rsid w:val="0C766F5C"/>
    <w:rsid w:val="0F7D25CB"/>
    <w:rsid w:val="10741C20"/>
    <w:rsid w:val="10CB7366"/>
    <w:rsid w:val="11042766"/>
    <w:rsid w:val="12681311"/>
    <w:rsid w:val="14370E88"/>
    <w:rsid w:val="15F82B4C"/>
    <w:rsid w:val="17345C65"/>
    <w:rsid w:val="17FB3416"/>
    <w:rsid w:val="1A163D48"/>
    <w:rsid w:val="1A2F64A6"/>
    <w:rsid w:val="1D8B67FB"/>
    <w:rsid w:val="1EFA23ED"/>
    <w:rsid w:val="20140D2A"/>
    <w:rsid w:val="20A84E1F"/>
    <w:rsid w:val="211663DC"/>
    <w:rsid w:val="235C54BC"/>
    <w:rsid w:val="235D4796"/>
    <w:rsid w:val="2641214D"/>
    <w:rsid w:val="27395698"/>
    <w:rsid w:val="27433CA3"/>
    <w:rsid w:val="28B9421C"/>
    <w:rsid w:val="2C4D184B"/>
    <w:rsid w:val="2C730B86"/>
    <w:rsid w:val="2C923702"/>
    <w:rsid w:val="2CD258AD"/>
    <w:rsid w:val="2D9A4E15"/>
    <w:rsid w:val="2E400F3C"/>
    <w:rsid w:val="2FF344B8"/>
    <w:rsid w:val="306970EF"/>
    <w:rsid w:val="30D75D3B"/>
    <w:rsid w:val="31943A79"/>
    <w:rsid w:val="3196159F"/>
    <w:rsid w:val="322E5C7B"/>
    <w:rsid w:val="332C2C2F"/>
    <w:rsid w:val="36BC3BEF"/>
    <w:rsid w:val="382673F4"/>
    <w:rsid w:val="3B1D42F5"/>
    <w:rsid w:val="3B9E333D"/>
    <w:rsid w:val="3C8F2D8C"/>
    <w:rsid w:val="3EA13331"/>
    <w:rsid w:val="3FE756BB"/>
    <w:rsid w:val="40300E10"/>
    <w:rsid w:val="41513AB2"/>
    <w:rsid w:val="41AC096A"/>
    <w:rsid w:val="43EF2D90"/>
    <w:rsid w:val="458D2861"/>
    <w:rsid w:val="459144C4"/>
    <w:rsid w:val="4696558E"/>
    <w:rsid w:val="47735FCE"/>
    <w:rsid w:val="47737835"/>
    <w:rsid w:val="4B154F35"/>
    <w:rsid w:val="4B55797D"/>
    <w:rsid w:val="4B7047B7"/>
    <w:rsid w:val="4D844549"/>
    <w:rsid w:val="4F624D5E"/>
    <w:rsid w:val="513D513B"/>
    <w:rsid w:val="52EA5404"/>
    <w:rsid w:val="53206AC2"/>
    <w:rsid w:val="55E3084C"/>
    <w:rsid w:val="580469B3"/>
    <w:rsid w:val="59CA7788"/>
    <w:rsid w:val="5A276988"/>
    <w:rsid w:val="5CE63743"/>
    <w:rsid w:val="5D99194B"/>
    <w:rsid w:val="5E160396"/>
    <w:rsid w:val="5E2D4789"/>
    <w:rsid w:val="6082700E"/>
    <w:rsid w:val="60FD6695"/>
    <w:rsid w:val="628C765B"/>
    <w:rsid w:val="62C30E7C"/>
    <w:rsid w:val="63972DD1"/>
    <w:rsid w:val="63C44466"/>
    <w:rsid w:val="644B50A3"/>
    <w:rsid w:val="646B1B68"/>
    <w:rsid w:val="64803865"/>
    <w:rsid w:val="649D0E83"/>
    <w:rsid w:val="65BA4B55"/>
    <w:rsid w:val="688D47A2"/>
    <w:rsid w:val="69200ED4"/>
    <w:rsid w:val="6AE07843"/>
    <w:rsid w:val="6B0F5394"/>
    <w:rsid w:val="6B225676"/>
    <w:rsid w:val="6B421874"/>
    <w:rsid w:val="6BBD0EFB"/>
    <w:rsid w:val="6DB132EC"/>
    <w:rsid w:val="6DE701F7"/>
    <w:rsid w:val="6E573888"/>
    <w:rsid w:val="6F375468"/>
    <w:rsid w:val="6F433E0D"/>
    <w:rsid w:val="6FDD3FF6"/>
    <w:rsid w:val="700B3678"/>
    <w:rsid w:val="731358A4"/>
    <w:rsid w:val="78850FF2"/>
    <w:rsid w:val="7A37456E"/>
    <w:rsid w:val="7E01736D"/>
    <w:rsid w:val="7E700B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character" w:styleId="5">
    <w:name w:val="page number"/>
    <w:basedOn w:val="4"/>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607</Words>
  <Characters>3460</Characters>
  <Lines>28</Lines>
  <Paragraphs>8</Paragraphs>
  <TotalTime>0</TotalTime>
  <ScaleCrop>false</ScaleCrop>
  <LinksUpToDate>false</LinksUpToDate>
  <CharactersWithSpaces>4059</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2021-08-19T03:24:00Z</dcterms:created>
  <dc:creator>王振加</dc:creator>
  <cp:lastModifiedBy>书剑飘零</cp:lastModifiedBy>
  <dcterms:modified xsi:type="dcterms:W3CDTF">2022-01-24T23:43:18Z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E4E1718BDF6D42C2980CF247DA831CFF</vt:lpwstr>
  </property>
</Properties>
</file>