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</w:t>
      </w:r>
    </w:p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部门整体支出绩效评价基础数据表</w:t>
      </w:r>
    </w:p>
    <w:p>
      <w:pPr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ind w:left="91"/>
        <w:jc w:val="left"/>
        <w:rPr>
          <w:rFonts w:hint="eastAsia" w:eastAsia="仿宋_GB2312"/>
          <w:kern w:val="0"/>
          <w:sz w:val="24"/>
          <w:lang w:val="en-US" w:eastAsia="zh-CN"/>
        </w:rPr>
      </w:pPr>
      <w:r>
        <w:rPr>
          <w:rFonts w:hint="eastAsia" w:eastAsia="仿宋_GB2312"/>
          <w:kern w:val="0"/>
          <w:sz w:val="24"/>
          <w:lang w:val="en-US" w:eastAsia="zh-CN"/>
        </w:rPr>
        <w:t xml:space="preserve">填报单位：岳阳市云溪区云溪中学                                   </w:t>
      </w:r>
    </w:p>
    <w:tbl>
      <w:tblPr>
        <w:tblStyle w:val="7"/>
        <w:tblW w:w="5425" w:type="pct"/>
        <w:tblInd w:w="-3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6"/>
        <w:gridCol w:w="792"/>
        <w:gridCol w:w="1222"/>
        <w:gridCol w:w="925"/>
        <w:gridCol w:w="1325"/>
        <w:gridCol w:w="976"/>
        <w:gridCol w:w="12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财政供养人员情况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编制数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2023年实际在职人数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140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140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100.00%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经费控制情况(万元)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2022年决算数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2023年预算数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2023年决算数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三公经费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0.71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1、公务用车购置和维护经费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其中：公车购置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公车运行维护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2、出国经费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3、公务接待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0.71</w:t>
            </w: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835.11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835.11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1、业务工作经费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2、运行维护经费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835.11</w:t>
            </w: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835.11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3、本级专项资金（一个专项一行）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公用经费：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198.25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249.92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249.92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其中：办公经费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15.47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20.61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20.61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水费、电费、差旅费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19.31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36.41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36.41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会议费、培训费</w:t>
            </w:r>
          </w:p>
        </w:tc>
        <w:tc>
          <w:tcPr>
            <w:tcW w:w="2014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32.25</w:t>
            </w:r>
          </w:p>
        </w:tc>
        <w:tc>
          <w:tcPr>
            <w:tcW w:w="225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10.57</w:t>
            </w:r>
          </w:p>
        </w:tc>
        <w:tc>
          <w:tcPr>
            <w:tcW w:w="2217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10.57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政府采购金额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部门基本支出预算调整 </w:t>
            </w:r>
          </w:p>
        </w:tc>
        <w:tc>
          <w:tcPr>
            <w:tcW w:w="1037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41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</w:trPr>
        <w:tc>
          <w:tcPr>
            <w:tcW w:w="166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楼堂馆所控制情况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（2023年完工项目）</w:t>
            </w: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批复规模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实际规模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（㎡）</w:t>
            </w: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规模控制率</w:t>
            </w: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实际投资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投资概算控制率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66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07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2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8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2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39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8" w:hRule="atLeast"/>
        </w:trPr>
        <w:tc>
          <w:tcPr>
            <w:tcW w:w="166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厉行节约保障措施</w:t>
            </w:r>
          </w:p>
        </w:tc>
        <w:tc>
          <w:tcPr>
            <w:tcW w:w="3338" w:type="pct"/>
            <w:gridSpan w:val="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eastAsia="仿宋_GB2312"/>
          <w:kern w:val="0"/>
          <w:sz w:val="22"/>
        </w:rPr>
      </w:pPr>
    </w:p>
    <w:p>
      <w:pPr>
        <w:pStyle w:val="1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80" w:lineRule="exact"/>
        <w:ind w:left="0" w:leftChars="0" w:firstLine="0" w:firstLineChars="0"/>
        <w:textAlignment w:val="auto"/>
        <w:outlineLvl w:val="9"/>
        <w:rPr>
          <w:rFonts w:hint="eastAsia"/>
          <w:lang w:val="en-US" w:eastAsia="zh-CN"/>
        </w:rPr>
      </w:pPr>
      <w:r>
        <w:rPr>
          <w:rFonts w:eastAsia="仿宋_GB2312"/>
          <w:kern w:val="0"/>
          <w:sz w:val="22"/>
        </w:rPr>
        <w:t>说明：“项目支出”需要填报基本支出以外的所有项目支出情况，“公用经费”填报基本支出中的一般商品和服务支出。</w:t>
      </w:r>
    </w:p>
    <w:p>
      <w:pPr>
        <w:widowControl w:val="0"/>
        <w:kinsoku/>
        <w:autoSpaceDE/>
        <w:autoSpaceDN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填表人：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填报日期：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联系电话：</w:t>
      </w:r>
      <w:r>
        <w:rPr>
          <w:rFonts w:hint="eastAsia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 xml:space="preserve">       </w:t>
      </w:r>
      <w:r>
        <w:rPr>
          <w:rFonts w:hint="default" w:ascii="Times New Roman" w:hAnsi="Times New Roman" w:eastAsia="仿宋_GB2312" w:cs="Times New Roman"/>
          <w:snapToGrid/>
          <w:color w:val="000000"/>
          <w:kern w:val="0"/>
          <w:sz w:val="24"/>
          <w:szCs w:val="24"/>
          <w:lang w:val="en-US" w:eastAsia="zh-CN" w:bidi="ar-SA"/>
        </w:rPr>
        <w:t>单位负责人签字：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eastAsia="zh-CN"/>
        </w:rPr>
        <w:t>岳阳市云溪区云溪中学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139010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</w:t>
      </w:r>
      <w:r>
        <w:rPr>
          <w:rFonts w:hint="eastAsia" w:eastAsia="仿宋_GB2312"/>
          <w:sz w:val="32"/>
          <w:lang w:val="en-US" w:eastAsia="zh-CN"/>
        </w:rPr>
        <w:t>2024</w:t>
      </w:r>
      <w:r>
        <w:rPr>
          <w:rFonts w:hint="eastAsia" w:eastAsia="仿宋_GB2312"/>
          <w:sz w:val="32"/>
        </w:rPr>
        <w:t xml:space="preserve"> 年 </w:t>
      </w:r>
      <w:r>
        <w:rPr>
          <w:rFonts w:hint="eastAsia" w:eastAsia="仿宋_GB2312"/>
          <w:sz w:val="32"/>
          <w:lang w:val="en-US" w:eastAsia="zh-CN"/>
        </w:rPr>
        <w:t>6</w:t>
      </w:r>
      <w:r>
        <w:rPr>
          <w:rFonts w:hint="eastAsia" w:eastAsia="仿宋_GB2312"/>
          <w:sz w:val="32"/>
        </w:rPr>
        <w:t xml:space="preserve">  月 </w:t>
      </w:r>
      <w:r>
        <w:rPr>
          <w:rFonts w:hint="eastAsia" w:eastAsia="仿宋_GB2312"/>
          <w:sz w:val="32"/>
          <w:lang w:val="en-US" w:eastAsia="zh-CN"/>
        </w:rPr>
        <w:t>17</w:t>
      </w:r>
      <w:r>
        <w:rPr>
          <w:rFonts w:hint="eastAsia" w:eastAsia="仿宋_GB2312"/>
          <w:sz w:val="32"/>
        </w:rPr>
        <w:t xml:space="preserve">  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  <w:lang w:eastAsia="zh-CN"/>
        </w:rPr>
        <w:t>岳阳市云溪区云溪中学</w:t>
      </w:r>
      <w:r>
        <w:rPr>
          <w:rFonts w:hint="eastAsia" w:eastAsia="仿宋_GB2312"/>
          <w:sz w:val="32"/>
          <w:szCs w:val="32"/>
        </w:rPr>
        <w:t>（制）</w:t>
      </w: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</w:pPr>
    </w:p>
    <w:p>
      <w:pPr>
        <w:pStyle w:val="12"/>
        <w:rPr>
          <w:rFonts w:hint="eastAsia" w:eastAsia="仿宋_GB2312"/>
          <w:sz w:val="32"/>
          <w:szCs w:val="32"/>
        </w:rPr>
        <w:sectPr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p/>
    <w:p>
      <w:pPr>
        <w:keepNext w:val="0"/>
        <w:keepLines w:val="0"/>
        <w:pageBreakBefore w:val="0"/>
        <w:widowControl/>
        <w:tabs>
          <w:tab w:val="left" w:pos="3611"/>
          <w:tab w:val="left" w:pos="4791"/>
          <w:tab w:val="left" w:pos="5951"/>
          <w:tab w:val="left" w:pos="7071"/>
          <w:tab w:val="left" w:pos="8191"/>
          <w:tab w:val="left" w:pos="931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91"/>
        <w:jc w:val="center"/>
        <w:textAlignment w:val="auto"/>
        <w:outlineLvl w:val="0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/>
        </w:rPr>
        <w:t>整体支出绩效自评表</w:t>
      </w:r>
    </w:p>
    <w:tbl>
      <w:tblPr>
        <w:tblStyle w:val="7"/>
        <w:tblW w:w="5495" w:type="pct"/>
        <w:tblInd w:w="-12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856"/>
        <w:gridCol w:w="887"/>
        <w:gridCol w:w="412"/>
        <w:gridCol w:w="913"/>
        <w:gridCol w:w="164"/>
        <w:gridCol w:w="889"/>
        <w:gridCol w:w="1144"/>
        <w:gridCol w:w="825"/>
        <w:gridCol w:w="708"/>
        <w:gridCol w:w="800"/>
        <w:gridCol w:w="939"/>
        <w:gridCol w:w="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858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预算部门名称</w:t>
            </w:r>
          </w:p>
        </w:tc>
        <w:tc>
          <w:tcPr>
            <w:tcW w:w="4141" w:type="pct"/>
            <w:gridSpan w:val="11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岳阳市云溪区云溪中学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年度预算申请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(万元)</w:t>
            </w: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年初预算数(万元)</w:t>
            </w:r>
          </w:p>
        </w:tc>
        <w:tc>
          <w:tcPr>
            <w:tcW w:w="562" w:type="pct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全年预算数（万元）</w:t>
            </w:r>
          </w:p>
        </w:tc>
        <w:tc>
          <w:tcPr>
            <w:tcW w:w="610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全年执行数（万元）</w:t>
            </w:r>
          </w:p>
        </w:tc>
        <w:tc>
          <w:tcPr>
            <w:tcW w:w="81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执行率</w:t>
            </w:r>
          </w:p>
        </w:tc>
        <w:tc>
          <w:tcPr>
            <w:tcW w:w="54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年度资金总额：</w:t>
            </w:r>
          </w:p>
        </w:tc>
        <w:tc>
          <w:tcPr>
            <w:tcW w:w="48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2156.61</w:t>
            </w:r>
          </w:p>
        </w:tc>
        <w:tc>
          <w:tcPr>
            <w:tcW w:w="56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3769.74</w:t>
            </w:r>
          </w:p>
        </w:tc>
        <w:tc>
          <w:tcPr>
            <w:tcW w:w="61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3769.74</w:t>
            </w:r>
          </w:p>
        </w:tc>
        <w:tc>
          <w:tcPr>
            <w:tcW w:w="818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100.00%</w:t>
            </w:r>
          </w:p>
        </w:tc>
        <w:tc>
          <w:tcPr>
            <w:tcW w:w="542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5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按收入性质分：</w:t>
            </w:r>
          </w:p>
        </w:tc>
        <w:tc>
          <w:tcPr>
            <w:tcW w:w="1788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4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一般公共预算：</w:t>
            </w:r>
          </w:p>
        </w:tc>
        <w:tc>
          <w:tcPr>
            <w:tcW w:w="166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3769.74</w:t>
            </w:r>
          </w:p>
        </w:tc>
        <w:tc>
          <w:tcPr>
            <w:tcW w:w="81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其中:基本支出：</w:t>
            </w:r>
          </w:p>
        </w:tc>
        <w:tc>
          <w:tcPr>
            <w:tcW w:w="969" w:type="pct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2934.63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政府性基金拨款：</w:t>
            </w:r>
          </w:p>
        </w:tc>
        <w:tc>
          <w:tcPr>
            <w:tcW w:w="166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纳入专户管理的非税收入拨款：</w:t>
            </w:r>
          </w:p>
        </w:tc>
        <w:tc>
          <w:tcPr>
            <w:tcW w:w="166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1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项目支出：</w:t>
            </w:r>
          </w:p>
        </w:tc>
        <w:tc>
          <w:tcPr>
            <w:tcW w:w="969" w:type="pct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835.11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93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其他资金</w:t>
            </w:r>
          </w:p>
        </w:tc>
        <w:tc>
          <w:tcPr>
            <w:tcW w:w="1660" w:type="pct"/>
            <w:gridSpan w:val="4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</w:p>
        </w:tc>
        <w:tc>
          <w:tcPr>
            <w:tcW w:w="81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69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858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年度总体目标</w:t>
            </w:r>
          </w:p>
        </w:tc>
        <w:tc>
          <w:tcPr>
            <w:tcW w:w="235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预期目标</w:t>
            </w:r>
          </w:p>
        </w:tc>
        <w:tc>
          <w:tcPr>
            <w:tcW w:w="1788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58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53" w:type="pct"/>
            <w:gridSpan w:val="6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1.对辖区内适龄中学生实行教育教学工作；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2.保障教职员工的工资福利待遇，保证学校各项工作顺利开展；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3.开展学校各项工作,控制三公经费支出；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4.保障全体师生安全，提高教学质量，稳定教学秩序。</w:t>
            </w:r>
          </w:p>
        </w:tc>
        <w:tc>
          <w:tcPr>
            <w:tcW w:w="1788" w:type="pct"/>
            <w:gridSpan w:val="5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已按计划完成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309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794" w:type="pct"/>
            <w:gridSpan w:val="3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085" w:type="pct"/>
            <w:gridSpan w:val="2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年度指标值</w:t>
            </w:r>
          </w:p>
        </w:tc>
        <w:tc>
          <w:tcPr>
            <w:tcW w:w="440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实际完成值</w:t>
            </w:r>
          </w:p>
        </w:tc>
        <w:tc>
          <w:tcPr>
            <w:tcW w:w="377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分值</w:t>
            </w:r>
          </w:p>
        </w:tc>
        <w:tc>
          <w:tcPr>
            <w:tcW w:w="427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得分</w:t>
            </w:r>
          </w:p>
        </w:tc>
        <w:tc>
          <w:tcPr>
            <w:tcW w:w="501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549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4" w:type="pct"/>
            <w:gridSpan w:val="3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落实140名教师工资发放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落实140名教师工资发放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经费拨付及时率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保障教职员工工资福利按时发放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保障教职员工工资福利按时发放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保障学校正常教育教学工作开展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1116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任务完成时间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2023年12月31日前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改善办学条件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持续改善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持续改善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提升学生整体素质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提升学生整体素质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提升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可持续影响指标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学生、教师、家长满意度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≥95%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＞95%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1489" w:type="dxa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预算控制数</w:t>
            </w:r>
          </w:p>
        </w:tc>
        <w:tc>
          <w:tcPr>
            <w:tcW w:w="2033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≤3769.74万元</w:t>
            </w:r>
          </w:p>
        </w:tc>
        <w:tc>
          <w:tcPr>
            <w:tcW w:w="82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3769.74万元</w:t>
            </w:r>
          </w:p>
        </w:tc>
        <w:tc>
          <w:tcPr>
            <w:tcW w:w="70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80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401" w:type="pct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56" w:type="pct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73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生态环境成本指标</w:t>
            </w:r>
          </w:p>
        </w:tc>
        <w:tc>
          <w:tcPr>
            <w:tcW w:w="794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85" w:type="pct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0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7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27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01" w:type="pc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3626" w:type="pct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100分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1" w:type="pct"/>
          <w:trHeight w:val="648" w:hRule="atLeast"/>
        </w:trPr>
        <w:tc>
          <w:tcPr>
            <w:tcW w:w="1331" w:type="pct"/>
            <w:gridSpan w:val="3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3626" w:type="pct"/>
            <w:gridSpan w:val="9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优</w:t>
            </w:r>
          </w:p>
        </w:tc>
      </w:tr>
    </w:tbl>
    <w:p>
      <w:pPr>
        <w:pStyle w:val="10"/>
      </w:pPr>
    </w:p>
    <w:p>
      <w:pPr>
        <w:pStyle w:val="10"/>
      </w:pPr>
    </w:p>
    <w:p>
      <w:pPr>
        <w:pStyle w:val="1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p>
      <w:pPr>
        <w:pStyle w:val="10"/>
        <w:ind w:left="0" w:leftChars="0" w:firstLine="0" w:firstLineChars="0"/>
      </w:pPr>
    </w:p>
    <w:tbl>
      <w:tblPr>
        <w:tblStyle w:val="7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1654"/>
        <w:gridCol w:w="3561"/>
        <w:gridCol w:w="1479"/>
        <w:gridCol w:w="310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pStyle w:val="10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p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附件1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岳阳市云溪区云溪中学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部门整体支出绩效自评报告</w:t>
      </w:r>
    </w:p>
    <w:p>
      <w:pPr>
        <w:bidi w:val="0"/>
      </w:pP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一、部门（单位）概况</w:t>
      </w:r>
    </w:p>
    <w:p>
      <w:pPr>
        <w:pStyle w:val="3"/>
        <w:bidi w:val="0"/>
        <w:rPr>
          <w:rFonts w:hint="default"/>
        </w:rPr>
      </w:pPr>
      <w:r>
        <w:rPr>
          <w:rFonts w:hint="default"/>
        </w:rPr>
        <w:t>（一）机构设置情况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楷体_GB2312" w:eastAsia="楷体_GB2312" w:cs="楷体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岳阳市云溪区云溪中学内设机构包括：内设股室4个，分别为:教务处、政教处、总务处、办公室。</w:t>
      </w:r>
    </w:p>
    <w:p>
      <w:pPr>
        <w:pStyle w:val="3"/>
        <w:bidi w:val="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  <w:lang w:eastAsia="zh-CN"/>
        </w:rPr>
        <w:t>）</w:t>
      </w:r>
      <w:r>
        <w:rPr>
          <w:rFonts w:hint="default"/>
        </w:rPr>
        <w:t>人员编制情况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2023年末实有人数140人，其中事业人员140人。</w:t>
      </w:r>
    </w:p>
    <w:p>
      <w:pPr>
        <w:pStyle w:val="3"/>
        <w:bidi w:val="0"/>
        <w:rPr>
          <w:rFonts w:hint="default"/>
        </w:rPr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）</w:t>
      </w:r>
      <w:r>
        <w:rPr>
          <w:rFonts w:hint="default"/>
        </w:rPr>
        <w:t>主要职能职责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1、负责编报学校各类统计报表，编写财务分析报告。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2、负责收入核对、催缴及财政专户管理资金上缴和返还工作。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3、负责票据的领购工作，对票据使用情况进行检查和指导。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4、负责办理纳税申报、收费许可等工作。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5、负责学校财政、税务、金融、保险等政策咨询工作。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6、配合上级部门对学校进行财务审计、检查等工作。</w:t>
      </w:r>
    </w:p>
    <w:p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（四）</w:t>
      </w:r>
      <w:r>
        <w:rPr>
          <w:rFonts w:hint="default"/>
          <w:lang w:val="en-US" w:eastAsia="zh-CN"/>
        </w:rPr>
        <w:t>绩效目标设定情况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1.对辖区内适龄中学生实行教育教学工作；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2.保障教职员工的工资福利待遇，保证学校各项工作顺利开展；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3.开展学校各项工作,控制三公经费支出；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4.保障全体师生安全，提高教学质量，稳定教学秩序。</w:t>
      </w:r>
    </w:p>
    <w:p>
      <w:pPr>
        <w:pStyle w:val="2"/>
        <w:bidi w:val="0"/>
        <w:ind w:left="0" w:leftChars="0" w:firstLine="321" w:firstLineChars="1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二、一般公共预算支出情况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《会计法》《预算法》《行政单位财务规则》等法律和财政部及省财政厅有关财务规章的规定，明确了经费审批权限及程序，经费预算管理、财务经费管理、资产购置与处置、财务监督等。针对“三公”经费探索建立公用经费标准定额体系，开展公用经费使用监督和绩效评估，进一步落实厉行节约的各项规定，确保“三公经费”使用合理合规等。上述制度规定基本执行到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2023年决算支出3769.74万元，其中：基本支出2934.63万元，项目支出835.11万元。</w:t>
      </w:r>
    </w:p>
    <w:p>
      <w:pPr>
        <w:pStyle w:val="4"/>
        <w:numPr>
          <w:ilvl w:val="0"/>
          <w:numId w:val="1"/>
        </w:numPr>
        <w:bidi w:val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基本支出情况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基本支出用于为保障各部门、机构正常运转、完成日常工作任务而发生的支出，包括人员经费和公用经费。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2023年全年基本支出2934.63万元，其中：工资福利支出2287.52万元、商品和服务支出249.92万元、对个人和家庭的补助396.12万元、债务利息及费用支出0万元、资本性支出1.06万元、其他支出0万元。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  <w:t>项目支出情况</w:t>
      </w:r>
    </w:p>
    <w:p>
      <w:pPr>
        <w:keepNext w:val="0"/>
        <w:keepLines w:val="0"/>
        <w:widowControl w:val="0"/>
        <w:suppressLineNumbers w:val="0"/>
        <w:spacing w:before="0" w:beforeLines="0" w:beforeAutospacing="0" w:after="0" w:afterLines="0" w:afterAutospacing="0" w:line="600" w:lineRule="exact"/>
        <w:ind w:left="0" w:right="0" w:firstLine="640" w:firstLineChars="200"/>
        <w:jc w:val="both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default" w:ascii="仿宋_GB2312" w:hAnsi="Calibri" w:eastAsia="仿宋_GB2312" w:cs="仿宋_GB2312"/>
          <w:kern w:val="2"/>
          <w:sz w:val="32"/>
          <w:szCs w:val="32"/>
          <w:lang w:val="en-US" w:eastAsia="zh-CN" w:bidi="ar"/>
        </w:rPr>
        <w:t>项目支出是在基本支出之外为完成其特定的工作任务而发生的支出，主要用于专项工作的运转和设备升级等。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2023年项目经费支出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835.11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万元，其中:中小学校舍安全工程支出10万元,学校综合管理支出825.11万元。</w:t>
      </w:r>
    </w:p>
    <w:p>
      <w:pPr>
        <w:pStyle w:val="3"/>
        <w:bidi w:val="0"/>
        <w:rPr>
          <w:rFonts w:hint="eastAsia"/>
        </w:rPr>
      </w:pPr>
      <w:r>
        <w:t>（三）</w:t>
      </w:r>
      <w:r>
        <w:rPr>
          <w:rFonts w:hint="eastAsia"/>
        </w:rPr>
        <w:t>“三公”经费的使用和管理情况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单位2023年严格贯彻中央八项规定精神，厉行节约。“三公”经费的使用严格按照文件范围执行，财务人员严把票据审核的关卡，确保资金的合理使用。2023年初财政批复局机关“三公”经费预算数为0万元，其中：公务接待费0万元、因公出国（境）费用0万元、公务用车购置及运行费0万元。全年决算单位支出“三公”经费为0万元，其中：公务接待费0万元、因公出国（境）费用0万元、公务用车购置及运行费0万元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三、政府性基金预算支出情况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四、国有资本经营预算支出情况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五、社会保险基金预算支出情况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六、部门整体支出绩效情况</w:t>
      </w:r>
    </w:p>
    <w:p>
      <w:pPr>
        <w:pStyle w:val="3"/>
        <w:bidi w:val="0"/>
        <w:rPr>
          <w:rFonts w:hint="default"/>
        </w:rPr>
      </w:pPr>
      <w:r>
        <w:rPr>
          <w:rFonts w:hint="default"/>
        </w:rPr>
        <w:t>（一）综合评价结论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经自评，2023年度我单位部门整体支出绩效评价结论为“优”，自查评分为100分。</w:t>
      </w:r>
    </w:p>
    <w:p>
      <w:pPr>
        <w:pStyle w:val="3"/>
        <w:bidi w:val="0"/>
        <w:rPr>
          <w:rFonts w:hint="default"/>
        </w:rPr>
      </w:pPr>
      <w:r>
        <w:rPr>
          <w:rFonts w:hint="default"/>
        </w:rPr>
        <w:t>（二）评价指标分析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1、社会效益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（1）保障学校办学条件逐步改善，使学校环境大为改观，得到家长、学生及社会认可。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（2）深化教学研究，提升教育质量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作为云溪区规模最大的初级中学，我们深知教学质量的重要性。教学质量不仅关系到每一位学生的未来，也是学校发展的核心驱动力。在这一年中，我们采取了一系列举措，旨在通过精细化管理提升教学质量。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（一）、强化教学常规管理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•学生为中心的教学模式：我们坚持以学生为主体，教师为主导的教学模式，并将训练作为主线。每月对教学常规进行检查与评议，采用实证方法，如通过拍照、PPT等方式直观展示教学现场，以确保评议的透明度和效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•优化课堂管理：我们追求课堂45分钟的高效率和高质量，实施全方位的教学活动管理。这包括校级领导巡视课堂、教务处的日常巡查、以及年级组对课堂教学的实时记录与监督。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•强化随堂听课制度：行政部门每周定期听课并在教师例会上交流听课心得，以促进教学方法的持续改进。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•树立典型，学习榜样：通过表彰优秀班级和学生、举办潜能生座谈会、强化学习小组建设等方式，全面激发学生的学习积极性。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•深入考试分析与评价：对期中、期末考试进行深入的质量分析，确保问题及时发现和对策迅速落实。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•规范语言文字表达，增强阅读量：推广普通话的使用，规范汉字书写，并通过多种活动激发学生的阅读兴趣。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•提供优质的课后服务：开设多元化的兴趣班和辅导班，以满足学生多样化的学习需求。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•劳动教育的深化：重视劳动教育的实施，让学生在实践中学习和成长。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（二）、深化教学研究，培育教育创新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我校的教师团队庞大而经验丰富，但也面临年轻教师短缺、年龄结构失衡的挑战。尽管如此，我们通过多种途径和措施，不断提升教师队伍的活力和教学水平，使学校成为教育创新的沃土。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•实施青蓝工程：为引导青年教师成长，学校精心制定了青蓝工程师徒协议和考核细则。通过举行师徒结对仪式和定期的讲评会，我们为青年教师的成长提供了坚实的支持。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•优化新教师培养：通过组织新进教师汇报课和青年教师竞赛课，我们旨在培养年轻教师的教学技能和自信心。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•加强教学竞赛：在“云梦杯”教学竞赛中，我校教师取得优异成绩，体现了教师专业水平的高度。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•深化校际交流：通过与其他学校的教研交流和互访，我们不仅开阔了教师视野，也促进了教学理念的转变和教研活动的有效性。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•强化课题研究：学校鼓励教师参与省市级课题研究，提高教学科研水平。刘琼老师和杨晓辉副校长分别主持的省级课题，以及周灿辉老师的市级课题，均严格按照研究计划进行。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2、社会公众满意度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学生、教师、家长满意度95%以上，今后仍需不断努力。。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七、存在的问题及原因分析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2023年我单位无预算支出执行偏离绩效目标的情况。</w:t>
      </w:r>
    </w:p>
    <w:p>
      <w:pPr>
        <w:pStyle w:val="2"/>
        <w:bidi w:val="0"/>
        <w:ind w:left="0" w:leftChars="0" w:firstLine="321" w:firstLineChars="100"/>
        <w:rPr>
          <w:rFonts w:hint="eastAsia"/>
        </w:rPr>
      </w:pPr>
      <w:r>
        <w:rPr>
          <w:rFonts w:hint="eastAsia"/>
        </w:rPr>
        <w:t>八、下一步改进措施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pPr>
        <w:pStyle w:val="2"/>
        <w:bidi w:val="0"/>
        <w:ind w:left="0" w:leftChars="0" w:firstLine="321" w:firstLineChars="100"/>
        <w:rPr>
          <w:rFonts w:hint="eastAsia"/>
          <w:lang w:val="en-US" w:eastAsia="en-US"/>
        </w:rPr>
      </w:pPr>
      <w:r>
        <w:rPr>
          <w:rFonts w:hint="eastAsia"/>
          <w:lang w:val="en-US" w:eastAsia="en-US"/>
        </w:rPr>
        <w:t>九、其他需要说明的情况</w:t>
      </w:r>
    </w:p>
    <w:p>
      <w:pPr>
        <w:pStyle w:val="14"/>
        <w:spacing w:line="600" w:lineRule="exact"/>
        <w:ind w:firstLine="643"/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color w:val="000000"/>
          <w:sz w:val="32"/>
          <w:szCs w:val="32"/>
          <w:lang w:val="en-US" w:eastAsia="zh-CN"/>
        </w:rPr>
        <w:t>无。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outside" w:y="1"/>
      <w:rPr>
        <w:rStyle w:val="9"/>
        <w:sz w:val="24"/>
        <w:szCs w:val="24"/>
      </w:rPr>
    </w:pPr>
    <w:r>
      <w:rPr>
        <w:rStyle w:val="9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9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9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9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7498EA"/>
    <w:multiLevelType w:val="singleLevel"/>
    <w:tmpl w:val="387498E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172A27"/>
    <w:rsid w:val="02A9251A"/>
    <w:rsid w:val="032B47A9"/>
    <w:rsid w:val="03AA1A5C"/>
    <w:rsid w:val="03DC1511"/>
    <w:rsid w:val="05375E6B"/>
    <w:rsid w:val="09F45FD8"/>
    <w:rsid w:val="0C791C75"/>
    <w:rsid w:val="11DD21FB"/>
    <w:rsid w:val="12524FF3"/>
    <w:rsid w:val="152C2AC9"/>
    <w:rsid w:val="1711679D"/>
    <w:rsid w:val="186A0D56"/>
    <w:rsid w:val="19544915"/>
    <w:rsid w:val="1C320A84"/>
    <w:rsid w:val="1D470521"/>
    <w:rsid w:val="1F713AC0"/>
    <w:rsid w:val="20756E2D"/>
    <w:rsid w:val="27D863C0"/>
    <w:rsid w:val="28635EA4"/>
    <w:rsid w:val="2AB54840"/>
    <w:rsid w:val="2AE61515"/>
    <w:rsid w:val="2D701BA0"/>
    <w:rsid w:val="2D7E77E3"/>
    <w:rsid w:val="2DD67B47"/>
    <w:rsid w:val="320B6A4B"/>
    <w:rsid w:val="38D17A67"/>
    <w:rsid w:val="3DE6565C"/>
    <w:rsid w:val="41203882"/>
    <w:rsid w:val="41265F61"/>
    <w:rsid w:val="42075CA8"/>
    <w:rsid w:val="447A08AC"/>
    <w:rsid w:val="456D6663"/>
    <w:rsid w:val="45795F75"/>
    <w:rsid w:val="48FA4E76"/>
    <w:rsid w:val="4E8B1F67"/>
    <w:rsid w:val="510D0FC2"/>
    <w:rsid w:val="55BA31FE"/>
    <w:rsid w:val="596423C7"/>
    <w:rsid w:val="5B5B0FE0"/>
    <w:rsid w:val="5CC772D2"/>
    <w:rsid w:val="5F663B83"/>
    <w:rsid w:val="5F8D53A3"/>
    <w:rsid w:val="62326812"/>
    <w:rsid w:val="624A5785"/>
    <w:rsid w:val="624F2C18"/>
    <w:rsid w:val="63660064"/>
    <w:rsid w:val="63E53BC8"/>
    <w:rsid w:val="64673F7C"/>
    <w:rsid w:val="65D00FC6"/>
    <w:rsid w:val="69C12CD2"/>
    <w:rsid w:val="6B38404F"/>
    <w:rsid w:val="6B8A28E3"/>
    <w:rsid w:val="6E2D7665"/>
    <w:rsid w:val="73C70602"/>
    <w:rsid w:val="76C92F4B"/>
    <w:rsid w:val="785771FF"/>
    <w:rsid w:val="78A50E3F"/>
    <w:rsid w:val="7AAC2882"/>
    <w:rsid w:val="7C582B10"/>
    <w:rsid w:val="7DAD0FE3"/>
    <w:rsid w:val="7DED5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0"/>
    </w:pPr>
    <w:rPr>
      <w:rFonts w:eastAsia="黑体"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spacing w:line="560" w:lineRule="exact"/>
      <w:ind w:firstLine="200" w:firstLineChars="200"/>
      <w:outlineLvl w:val="1"/>
    </w:pPr>
    <w:rPr>
      <w:rFonts w:eastAsia="楷体_GB2312" w:asciiTheme="majorAscii" w:hAnsiTheme="majorAscii" w:cstheme="majorBidi"/>
      <w:b/>
      <w:bCs/>
      <w:sz w:val="32"/>
      <w:szCs w:val="32"/>
    </w:rPr>
  </w:style>
  <w:style w:type="paragraph" w:styleId="4">
    <w:name w:val="heading 3"/>
    <w:basedOn w:val="1"/>
    <w:next w:val="1"/>
    <w:autoRedefine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640" w:firstLineChars="200"/>
      <w:outlineLvl w:val="2"/>
    </w:pPr>
    <w:rPr>
      <w:rFonts w:eastAsia="仿宋_GB2312" w:asciiTheme="minorAscii" w:hAnsiTheme="minorAscii"/>
      <w:sz w:val="32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page number"/>
    <w:autoRedefine/>
    <w:qFormat/>
    <w:uiPriority w:val="0"/>
  </w:style>
  <w:style w:type="paragraph" w:customStyle="1" w:styleId="10">
    <w:name w:val="BodyText1I2"/>
    <w:basedOn w:val="11"/>
    <w:autoRedefine/>
    <w:qFormat/>
    <w:uiPriority w:val="0"/>
    <w:pPr>
      <w:spacing w:before="100" w:beforeAutospacing="1" w:after="0"/>
      <w:ind w:left="0" w:firstLine="420" w:firstLineChars="200"/>
    </w:pPr>
    <w:rPr>
      <w:rFonts w:ascii="Calibri" w:hAnsi="Calibri"/>
    </w:rPr>
  </w:style>
  <w:style w:type="paragraph" w:customStyle="1" w:styleId="11">
    <w:name w:val="BodyTextIndent"/>
    <w:basedOn w:val="1"/>
    <w:autoRedefine/>
    <w:qFormat/>
    <w:uiPriority w:val="0"/>
    <w:pPr>
      <w:spacing w:after="120"/>
      <w:ind w:left="420" w:leftChars="200"/>
    </w:pPr>
  </w:style>
  <w:style w:type="paragraph" w:customStyle="1" w:styleId="12">
    <w:name w:val="BodyText1I"/>
    <w:basedOn w:val="1"/>
    <w:autoRedefine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customStyle="1" w:styleId="13">
    <w:name w:val="标题1"/>
    <w:basedOn w:val="3"/>
    <w:autoRedefine/>
    <w:qFormat/>
    <w:uiPriority w:val="0"/>
    <w:rPr>
      <w:rFonts w:eastAsia="黑体"/>
    </w:rPr>
  </w:style>
  <w:style w:type="paragraph" w:customStyle="1" w:styleId="14">
    <w:name w:val="List Paragraph_a0f507d5-6e28-4914-b37f-020b7d2b0f7c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3198</Words>
  <Characters>3528</Characters>
  <Lines>1</Lines>
  <Paragraphs>1</Paragraphs>
  <TotalTime>17</TotalTime>
  <ScaleCrop>false</ScaleCrop>
  <LinksUpToDate>false</LinksUpToDate>
  <CharactersWithSpaces>3972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2024-05-20T07:10:00Z</dcterms:created>
  <dc:creator>HNBS-WORKER3</dc:creator>
  <cp:lastModifiedBy>XIE</cp:lastModifiedBy>
  <dcterms:modified xsi:type="dcterms:W3CDTF">2024-06-23T19:40:18Z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2EACD47548BD4DE7A4D66C6CD41716BF_13</vt:lpwstr>
  </property>
</Properties>
</file>