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/>
        <w:jc w:val="center"/>
        <w:rPr>
          <w:rFonts w:hint="eastAsia" w:ascii="微软雅黑" w:hAnsi="微软雅黑" w:eastAsia="宋体" w:cs="微软雅黑"/>
          <w:i w:val="0"/>
          <w:iCs w:val="0"/>
          <w:caps w:val="0"/>
          <w:color w:val="auto"/>
          <w:spacing w:val="0"/>
          <w:sz w:val="44"/>
          <w:szCs w:val="44"/>
          <w:lang w:val="en-US" w:eastAsia="zh-CN"/>
        </w:rPr>
      </w:pPr>
      <w:r>
        <w:rPr>
          <w:rFonts w:hint="eastAsia"/>
          <w:i w:val="0"/>
          <w:iCs w:val="0"/>
          <w:caps w:val="0"/>
          <w:color w:val="auto"/>
          <w:spacing w:val="0"/>
          <w:sz w:val="44"/>
          <w:szCs w:val="44"/>
          <w:shd w:val="clear" w:fill="FFFFFF"/>
          <w:lang w:eastAsia="zh-CN"/>
        </w:rPr>
        <w:t>北塔区财政局</w:t>
      </w:r>
      <w:r>
        <w:rPr>
          <w:i w:val="0"/>
          <w:iCs w:val="0"/>
          <w:caps w:val="0"/>
          <w:color w:val="auto"/>
          <w:spacing w:val="0"/>
          <w:sz w:val="44"/>
          <w:szCs w:val="44"/>
          <w:shd w:val="clear" w:fill="FFFFFF"/>
        </w:rPr>
        <w:t>202</w:t>
      </w:r>
      <w:r>
        <w:rPr>
          <w:rFonts w:hint="eastAsia"/>
          <w:i w:val="0"/>
          <w:iCs w:val="0"/>
          <w:caps w:val="0"/>
          <w:color w:val="auto"/>
          <w:spacing w:val="0"/>
          <w:sz w:val="44"/>
          <w:szCs w:val="44"/>
          <w:shd w:val="clear" w:fill="FFFFFF"/>
          <w:lang w:val="en-US" w:eastAsia="zh-CN"/>
        </w:rPr>
        <w:t>2</w:t>
      </w:r>
      <w:r>
        <w:rPr>
          <w:i w:val="0"/>
          <w:iCs w:val="0"/>
          <w:caps w:val="0"/>
          <w:color w:val="auto"/>
          <w:spacing w:val="0"/>
          <w:sz w:val="44"/>
          <w:szCs w:val="44"/>
          <w:shd w:val="clear" w:fill="FFFFFF"/>
        </w:rPr>
        <w:t>年度部门整体支出绩效评价报</w:t>
      </w:r>
      <w:r>
        <w:rPr>
          <w:rFonts w:hint="eastAsia"/>
          <w:i w:val="0"/>
          <w:iCs w:val="0"/>
          <w:caps w:val="0"/>
          <w:color w:val="auto"/>
          <w:spacing w:val="0"/>
          <w:sz w:val="44"/>
          <w:szCs w:val="44"/>
          <w:shd w:val="clear" w:fill="FFFFFF"/>
          <w:lang w:val="en-US" w:eastAsia="zh-CN"/>
        </w:rPr>
        <w:t>告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40" w:beforeAutospacing="0" w:after="0" w:afterAutospacing="0" w:line="720" w:lineRule="auto"/>
        <w:ind w:left="0" w:right="0" w:firstLine="420"/>
        <w:jc w:val="both"/>
        <w:rPr>
          <w:rFonts w:hint="eastAsia" w:ascii="宋体" w:hAnsi="宋体" w:eastAsia="宋体" w:cs="宋体"/>
          <w:color w:val="auto"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一、部门基本情况</w:t>
      </w:r>
    </w:p>
    <w:p>
      <w:pPr>
        <w:spacing w:line="480" w:lineRule="auto"/>
        <w:ind w:firstLine="643" w:firstLineChars="200"/>
        <w:jc w:val="left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（一）机构设置及人员情况</w:t>
      </w:r>
    </w:p>
    <w:p>
      <w:pPr>
        <w:spacing w:line="480" w:lineRule="auto"/>
        <w:ind w:firstLine="64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</w:rPr>
        <w:t>机构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  <w:lang w:eastAsia="zh-CN"/>
        </w:rPr>
        <w:t>设置情况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</w:rPr>
        <w:t>：八股一室及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  <w:lang w:eastAsia="zh-CN"/>
        </w:rPr>
        <w:t>两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</w:rPr>
        <w:t>个事业机构。八股一室分别为：办公室、预算股、农财股、资产管理与绩效评价股(国有资产监督管理办公室)、国库管理股、经建股、社保股、综改股、会管股；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  <w:lang w:eastAsia="zh-CN"/>
        </w:rPr>
        <w:t>两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</w:rPr>
        <w:t>个事业机构分别为：区政府采购服务中心、区财政事务中心。</w:t>
      </w:r>
    </w:p>
    <w:p>
      <w:pPr>
        <w:spacing w:line="480" w:lineRule="auto"/>
        <w:ind w:firstLine="640" w:firstLineChars="200"/>
        <w:jc w:val="left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  <w:lang w:eastAsia="zh-CN"/>
        </w:rPr>
        <w:t>人员情况：</w:t>
      </w:r>
      <w:r>
        <w:rPr>
          <w:rFonts w:hint="eastAsia" w:ascii="宋体" w:hAnsi="宋体" w:eastAsia="宋体" w:cs="宋体"/>
          <w:color w:val="auto"/>
          <w:kern w:val="2"/>
          <w:sz w:val="32"/>
          <w:szCs w:val="32"/>
          <w:lang w:val="en-US" w:eastAsia="zh-CN" w:bidi="ar"/>
        </w:rPr>
        <w:t>本部门共有编制人数26人，实际人数28人，离退休13人。</w:t>
      </w:r>
    </w:p>
    <w:p>
      <w:pPr>
        <w:numPr>
          <w:ilvl w:val="0"/>
          <w:numId w:val="1"/>
        </w:numPr>
        <w:spacing w:line="480" w:lineRule="auto"/>
        <w:ind w:firstLine="643" w:firstLineChars="200"/>
        <w:jc w:val="left"/>
        <w:rPr>
          <w:color w:val="auto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主要工作职责</w:t>
      </w:r>
    </w:p>
    <w:p>
      <w:pPr>
        <w:numPr>
          <w:ilvl w:val="0"/>
          <w:numId w:val="2"/>
        </w:numPr>
        <w:spacing w:line="480" w:lineRule="auto"/>
        <w:ind w:firstLine="640" w:firstLineChars="200"/>
        <w:jc w:val="left"/>
        <w:rPr>
          <w:rFonts w:hint="eastAsia" w:ascii="宋体" w:hAnsi="宋体" w:eastAsia="宋体" w:cs="宋体"/>
          <w:color w:val="auto"/>
          <w:kern w:val="2"/>
          <w:sz w:val="32"/>
          <w:szCs w:val="32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2"/>
          <w:sz w:val="32"/>
          <w:szCs w:val="32"/>
          <w:lang w:val="en-US" w:eastAsia="zh-CN" w:bidi="ar"/>
        </w:rPr>
        <w:t xml:space="preserve">贯彻执行国家和省财政税收方针、政策和财政预决算、财务、会计方面的法规、条例及基本建设财务管理制度，指导全区财政工作。 </w:t>
      </w:r>
    </w:p>
    <w:p>
      <w:pPr>
        <w:numPr>
          <w:ilvl w:val="0"/>
          <w:numId w:val="2"/>
        </w:numPr>
        <w:spacing w:line="480" w:lineRule="auto"/>
        <w:ind w:left="0" w:leftChars="0" w:firstLine="640" w:firstLineChars="200"/>
        <w:jc w:val="left"/>
        <w:rPr>
          <w:rFonts w:hint="eastAsia" w:ascii="宋体" w:hAnsi="宋体" w:eastAsia="宋体" w:cs="宋体"/>
          <w:color w:val="auto"/>
          <w:kern w:val="2"/>
          <w:sz w:val="32"/>
          <w:szCs w:val="32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2"/>
          <w:sz w:val="32"/>
          <w:szCs w:val="32"/>
          <w:lang w:val="en-US" w:eastAsia="zh-CN" w:bidi="ar"/>
        </w:rPr>
        <w:t xml:space="preserve">编制年度本级预算草案并组织预算执行；编制区本级财政总决算；受区政府委托，向区人大报告区本级预算、预算执行情况和财政总决算。 </w:t>
      </w:r>
    </w:p>
    <w:p>
      <w:pPr>
        <w:numPr>
          <w:ilvl w:val="0"/>
          <w:numId w:val="2"/>
        </w:numPr>
        <w:spacing w:line="480" w:lineRule="auto"/>
        <w:ind w:left="0" w:leftChars="0" w:firstLine="640" w:firstLineChars="200"/>
        <w:jc w:val="left"/>
        <w:rPr>
          <w:rFonts w:hint="eastAsia" w:ascii="宋体" w:hAnsi="宋体" w:eastAsia="宋体" w:cs="宋体"/>
          <w:color w:val="auto"/>
          <w:kern w:val="2"/>
          <w:sz w:val="32"/>
          <w:szCs w:val="32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2"/>
          <w:sz w:val="32"/>
          <w:szCs w:val="32"/>
          <w:lang w:val="en-US" w:eastAsia="zh-CN" w:bidi="ar"/>
        </w:rPr>
        <w:t xml:space="preserve">管理各项财政收入、专项资金和财政专户；管理有关政府性基金。 </w:t>
      </w:r>
    </w:p>
    <w:p>
      <w:pPr>
        <w:numPr>
          <w:ilvl w:val="0"/>
          <w:numId w:val="2"/>
        </w:numPr>
        <w:spacing w:line="480" w:lineRule="auto"/>
        <w:ind w:left="0" w:leftChars="0" w:firstLine="640" w:firstLineChars="200"/>
        <w:jc w:val="left"/>
        <w:rPr>
          <w:rFonts w:hint="eastAsia" w:ascii="宋体" w:hAnsi="宋体" w:eastAsia="宋体" w:cs="宋体"/>
          <w:color w:val="auto"/>
          <w:kern w:val="2"/>
          <w:sz w:val="32"/>
          <w:szCs w:val="32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2"/>
          <w:sz w:val="32"/>
          <w:szCs w:val="32"/>
          <w:lang w:val="en-US" w:eastAsia="zh-CN" w:bidi="ar"/>
        </w:rPr>
        <w:t xml:space="preserve">管理财政行政政法和教科文支出；执行政府采购政策，负责控制社会集团购买力工作；管理财政预算内行政机构、事业单位和社会团体的非贸易外汇。根据国家、省统一规定的开支标准和支出政策，结合我区实际，制订具体实施办法，执行《行政单位财务规则》、《事业单位财务规则》。 </w:t>
      </w:r>
    </w:p>
    <w:p>
      <w:pPr>
        <w:numPr>
          <w:ilvl w:val="0"/>
          <w:numId w:val="2"/>
        </w:numPr>
        <w:spacing w:line="480" w:lineRule="auto"/>
        <w:ind w:left="0" w:leftChars="0" w:firstLine="640" w:firstLineChars="200"/>
        <w:jc w:val="left"/>
        <w:rPr>
          <w:rFonts w:hint="eastAsia" w:ascii="宋体" w:hAnsi="宋体" w:eastAsia="宋体" w:cs="宋体"/>
          <w:color w:val="auto"/>
          <w:kern w:val="2"/>
          <w:sz w:val="32"/>
          <w:szCs w:val="32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2"/>
          <w:sz w:val="32"/>
          <w:szCs w:val="32"/>
          <w:lang w:val="en-US" w:eastAsia="zh-CN" w:bidi="ar"/>
        </w:rPr>
        <w:t xml:space="preserve">制订全区行政事业单位国有资产管理的规章制度；监缴行政事业单位国有资产的处置收入；制订清产核资的有关政策、制度和办法并组织实施。 </w:t>
      </w:r>
    </w:p>
    <w:p>
      <w:pPr>
        <w:numPr>
          <w:ilvl w:val="0"/>
          <w:numId w:val="2"/>
        </w:numPr>
        <w:spacing w:line="480" w:lineRule="auto"/>
        <w:ind w:left="0" w:leftChars="0" w:firstLine="640" w:firstLineChars="200"/>
        <w:jc w:val="left"/>
        <w:rPr>
          <w:rFonts w:hint="eastAsia" w:ascii="宋体" w:hAnsi="宋体" w:eastAsia="宋体" w:cs="宋体"/>
          <w:color w:val="auto"/>
          <w:kern w:val="2"/>
          <w:sz w:val="32"/>
          <w:szCs w:val="32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2"/>
          <w:sz w:val="32"/>
          <w:szCs w:val="32"/>
          <w:lang w:val="en-US" w:eastAsia="zh-CN" w:bidi="ar"/>
        </w:rPr>
        <w:t xml:space="preserve">对区级财政支出重大项目进行绩效评价。 </w:t>
      </w:r>
    </w:p>
    <w:p>
      <w:pPr>
        <w:numPr>
          <w:ilvl w:val="0"/>
          <w:numId w:val="2"/>
        </w:numPr>
        <w:spacing w:line="480" w:lineRule="auto"/>
        <w:ind w:left="0" w:leftChars="0" w:firstLine="640" w:firstLineChars="200"/>
        <w:jc w:val="left"/>
        <w:rPr>
          <w:rFonts w:hint="eastAsia" w:ascii="宋体" w:hAnsi="宋体" w:eastAsia="宋体" w:cs="宋体"/>
          <w:color w:val="auto"/>
          <w:kern w:val="2"/>
          <w:sz w:val="32"/>
          <w:szCs w:val="32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2"/>
          <w:sz w:val="32"/>
          <w:szCs w:val="32"/>
          <w:lang w:val="en-US" w:eastAsia="zh-CN" w:bidi="ar"/>
        </w:rPr>
        <w:t xml:space="preserve">管理财政经济发展支出，负责财政性资金项目工程预决算审查。 </w:t>
      </w:r>
    </w:p>
    <w:p>
      <w:pPr>
        <w:numPr>
          <w:ilvl w:val="0"/>
          <w:numId w:val="2"/>
        </w:numPr>
        <w:spacing w:line="480" w:lineRule="auto"/>
        <w:ind w:left="0" w:leftChars="0" w:firstLine="640" w:firstLineChars="200"/>
        <w:jc w:val="left"/>
        <w:rPr>
          <w:rFonts w:hint="eastAsia" w:ascii="宋体" w:hAnsi="宋体" w:eastAsia="宋体" w:cs="宋体"/>
          <w:color w:val="auto"/>
          <w:kern w:val="2"/>
          <w:sz w:val="32"/>
          <w:szCs w:val="32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2"/>
          <w:sz w:val="32"/>
          <w:szCs w:val="32"/>
          <w:lang w:val="en-US" w:eastAsia="zh-CN" w:bidi="ar"/>
        </w:rPr>
        <w:t xml:space="preserve">执行《企业财务通则》；负责财政支农、农业财务管理。 </w:t>
      </w:r>
    </w:p>
    <w:p>
      <w:pPr>
        <w:numPr>
          <w:ilvl w:val="0"/>
          <w:numId w:val="2"/>
        </w:numPr>
        <w:spacing w:line="480" w:lineRule="auto"/>
        <w:ind w:left="0" w:leftChars="0" w:firstLine="640" w:firstLineChars="200"/>
        <w:jc w:val="left"/>
        <w:rPr>
          <w:rFonts w:hint="eastAsia" w:ascii="宋体" w:hAnsi="宋体" w:eastAsia="宋体" w:cs="宋体"/>
          <w:color w:val="auto"/>
          <w:kern w:val="2"/>
          <w:sz w:val="32"/>
          <w:szCs w:val="32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2"/>
          <w:sz w:val="32"/>
          <w:szCs w:val="32"/>
          <w:lang w:val="en-US" w:eastAsia="zh-CN" w:bidi="ar"/>
        </w:rPr>
        <w:t xml:space="preserve">监督执行会计规章制度；指导和管理社会审计；监督财税方针政策、法律法规的执行情况；检查反映财政收支管理中的重大问题；提出加强财政管理的政策、建议。制订财政科学研究和教育规划；组织财政人员培训；负责财政信息和财政宣传工作。 </w:t>
      </w:r>
    </w:p>
    <w:p>
      <w:pPr>
        <w:numPr>
          <w:ilvl w:val="0"/>
          <w:numId w:val="2"/>
        </w:numPr>
        <w:spacing w:line="480" w:lineRule="auto"/>
        <w:ind w:left="0" w:leftChars="0" w:firstLine="640" w:firstLineChars="200"/>
        <w:jc w:val="left"/>
        <w:rPr>
          <w:rFonts w:hint="eastAsia" w:ascii="宋体" w:hAnsi="宋体" w:eastAsia="宋体" w:cs="宋体"/>
          <w:color w:val="auto"/>
          <w:kern w:val="2"/>
          <w:sz w:val="32"/>
          <w:szCs w:val="32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2"/>
          <w:sz w:val="32"/>
          <w:szCs w:val="32"/>
          <w:lang w:val="en-US" w:eastAsia="zh-CN" w:bidi="ar"/>
        </w:rPr>
        <w:t xml:space="preserve">贯彻落实中央、省税费改革政策，制定全区税费改革实施方案及相关配套政策、制度和实施办法并组织实施和督促检查；负责指导和协调全区农村综合配套改革试点工作；制定税费改革转移支付办法；开展税收制度和收费改革调研，参与行政事业性收费清理整顿工作。 </w:t>
      </w:r>
    </w:p>
    <w:p>
      <w:pPr>
        <w:numPr>
          <w:ilvl w:val="0"/>
          <w:numId w:val="2"/>
        </w:numPr>
        <w:spacing w:line="480" w:lineRule="auto"/>
        <w:ind w:left="0" w:leftChars="0" w:firstLine="640" w:firstLineChars="200"/>
        <w:jc w:val="left"/>
        <w:rPr>
          <w:rFonts w:hint="eastAsia" w:ascii="宋体" w:hAnsi="宋体" w:eastAsia="宋体" w:cs="宋体"/>
          <w:color w:val="auto"/>
          <w:kern w:val="2"/>
          <w:sz w:val="32"/>
          <w:szCs w:val="32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2"/>
          <w:sz w:val="32"/>
          <w:szCs w:val="32"/>
          <w:lang w:val="en-US" w:eastAsia="zh-CN" w:bidi="ar"/>
        </w:rPr>
        <w:t xml:space="preserve">预测分析全区财政经济形势，研究经济运行中有关财政问题，提出实施宏观调控的政策建议；研究财政发展战略和重大财政改革方案。 </w:t>
      </w:r>
    </w:p>
    <w:p>
      <w:pPr>
        <w:numPr>
          <w:ilvl w:val="0"/>
          <w:numId w:val="2"/>
        </w:numPr>
        <w:spacing w:line="480" w:lineRule="auto"/>
        <w:ind w:left="0" w:leftChars="0" w:firstLine="640" w:firstLineChars="200"/>
        <w:jc w:val="left"/>
        <w:rPr>
          <w:rFonts w:hint="eastAsia" w:ascii="宋体" w:hAnsi="宋体" w:eastAsia="宋体" w:cs="宋体"/>
          <w:color w:val="auto"/>
          <w:kern w:val="2"/>
          <w:sz w:val="32"/>
          <w:szCs w:val="32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2"/>
          <w:sz w:val="32"/>
          <w:szCs w:val="32"/>
          <w:lang w:val="en-US" w:eastAsia="zh-CN" w:bidi="ar"/>
        </w:rPr>
        <w:t xml:space="preserve">负责移民资金分配使用的监督与财务管理。 </w:t>
      </w:r>
    </w:p>
    <w:p>
      <w:pPr>
        <w:numPr>
          <w:ilvl w:val="0"/>
          <w:numId w:val="2"/>
        </w:numPr>
        <w:spacing w:line="480" w:lineRule="auto"/>
        <w:ind w:left="0" w:leftChars="0" w:firstLine="640" w:firstLineChars="200"/>
        <w:jc w:val="left"/>
        <w:rPr>
          <w:rFonts w:hint="eastAsia" w:ascii="宋体" w:hAnsi="宋体" w:eastAsia="宋体" w:cs="宋体"/>
          <w:color w:val="auto"/>
          <w:kern w:val="2"/>
          <w:sz w:val="32"/>
          <w:szCs w:val="32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2"/>
          <w:sz w:val="32"/>
          <w:szCs w:val="32"/>
          <w:lang w:val="en-US" w:eastAsia="zh-CN" w:bidi="ar"/>
        </w:rPr>
        <w:t xml:space="preserve">完成区委、区政府交办的其他任务。 </w:t>
      </w:r>
    </w:p>
    <w:p>
      <w:pPr>
        <w:numPr>
          <w:ilvl w:val="0"/>
          <w:numId w:val="0"/>
        </w:numPr>
        <w:spacing w:line="480" w:lineRule="auto"/>
        <w:jc w:val="left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二、部门整体支出管理及使用情况</w:t>
      </w:r>
    </w:p>
    <w:p>
      <w:pPr>
        <w:spacing w:line="480" w:lineRule="auto"/>
        <w:ind w:firstLine="643" w:firstLineChars="200"/>
        <w:jc w:val="left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（一）预算执行情况</w:t>
      </w:r>
    </w:p>
    <w:p>
      <w:pPr>
        <w:spacing w:line="480" w:lineRule="auto"/>
        <w:ind w:firstLine="640" w:firstLineChars="200"/>
        <w:jc w:val="left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kern w:val="2"/>
          <w:sz w:val="32"/>
          <w:szCs w:val="32"/>
          <w:lang w:val="en-US" w:eastAsia="zh-CN" w:bidi="ar"/>
        </w:rPr>
        <w:t>2022年本部门全年预算数582.08万元，本年实际支出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</w:rPr>
        <w:t>582.08万元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  <w:lang w:eastAsia="zh-CN"/>
        </w:rPr>
        <w:t>，完成全年预算的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100%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</w:rPr>
        <w:t>。与上一年度相比，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  <w:lang w:eastAsia="zh-CN"/>
        </w:rPr>
        <w:t>实际支出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</w:rPr>
        <w:t>减少236.07万元，下降28.85%。主要原因是牢固贯彻过“紧日子”思想，财政拨款收入减收的同时，大力压缩了非必要性的开支。</w:t>
      </w:r>
    </w:p>
    <w:p>
      <w:pPr>
        <w:spacing w:line="480" w:lineRule="auto"/>
        <w:ind w:firstLine="64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</w:rPr>
        <w:t>2022年度收入合计582.08万元，其中：财政拨款收入469.74万元，占80.7%；上级补助收入0万元，占0%；事业收入0万元，占0%；经营收入0万元，占0%；附属单位上缴收入0万元，占0%；其他收入112.34万元，占19.3%</w:t>
      </w:r>
    </w:p>
    <w:p>
      <w:pPr>
        <w:spacing w:line="480" w:lineRule="auto"/>
        <w:ind w:firstLine="64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</w:rPr>
        <w:t>2022年度支出合计582.08万元，其中：基本支出582.08万元，占100%；项目支出0万元，占0%；上缴上级支出0万元，占0%；经营支出0万元，占0%；对附属单位补助支出0万元，占0%。</w:t>
      </w:r>
    </w:p>
    <w:p>
      <w:pPr>
        <w:spacing w:line="480" w:lineRule="auto"/>
        <w:ind w:firstLine="643" w:firstLineChars="200"/>
        <w:jc w:val="left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  <w:lang w:val="en-US" w:eastAsia="zh-CN"/>
        </w:rPr>
        <w:t>（二）基本支出情况</w:t>
      </w:r>
    </w:p>
    <w:p>
      <w:pPr>
        <w:spacing w:line="480" w:lineRule="auto"/>
        <w:ind w:firstLine="64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2"/>
          <w:sz w:val="32"/>
          <w:szCs w:val="32"/>
          <w:highlight w:val="none"/>
          <w:shd w:val="clear" w:fill="FFFFFF"/>
          <w:lang w:val="en-US" w:eastAsia="zh-CN" w:bidi="ar-SA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2"/>
          <w:sz w:val="32"/>
          <w:szCs w:val="32"/>
          <w:highlight w:val="none"/>
          <w:shd w:val="clear" w:fill="FFFFFF"/>
          <w:lang w:val="en-US" w:eastAsia="zh-CN" w:bidi="ar-SA"/>
        </w:rPr>
        <w:t>2022年度北塔区财政局基本支出全年预算582.08万元，本年实际支出为582.08万元，完成全年预算的100%。主要为人员经费支出和公用经费支出，其中人员经费支出392.43万元、公用经费支出189.65万元。</w:t>
      </w:r>
    </w:p>
    <w:p>
      <w:pPr>
        <w:numPr>
          <w:ilvl w:val="0"/>
          <w:numId w:val="1"/>
        </w:numPr>
        <w:spacing w:line="480" w:lineRule="auto"/>
        <w:ind w:left="0" w:leftChars="0" w:firstLine="643" w:firstLineChars="200"/>
        <w:jc w:val="left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  <w:lang w:val="en-US" w:eastAsia="zh-CN"/>
        </w:rPr>
        <w:t>项目支出情况</w:t>
      </w:r>
    </w:p>
    <w:p>
      <w:pPr>
        <w:numPr>
          <w:ilvl w:val="0"/>
          <w:numId w:val="0"/>
        </w:numPr>
        <w:spacing w:line="480" w:lineRule="auto"/>
        <w:ind w:firstLine="64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2"/>
          <w:sz w:val="32"/>
          <w:szCs w:val="32"/>
          <w:highlight w:val="none"/>
          <w:shd w:val="clear" w:fill="FFFFFF"/>
          <w:lang w:val="en-US" w:eastAsia="zh-CN" w:bidi="ar-SA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2"/>
          <w:sz w:val="32"/>
          <w:szCs w:val="32"/>
          <w:highlight w:val="none"/>
          <w:shd w:val="clear" w:fill="FFFFFF"/>
          <w:lang w:val="en-US" w:eastAsia="zh-CN" w:bidi="ar-SA"/>
        </w:rPr>
        <w:t>本年项目支出年初预算安排为0万元，本年实际支出为0万元，本部门2022年度无项目支出。</w:t>
      </w: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40" w:beforeAutospacing="0" w:after="0" w:afterAutospacing="0" w:line="480" w:lineRule="atLeast"/>
        <w:ind w:right="0" w:rightChars="0" w:firstLine="643" w:firstLineChars="200"/>
        <w:jc w:val="both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  <w:lang w:val="en-US" w:eastAsia="zh-CN"/>
        </w:rPr>
        <w:t>三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</w:rPr>
        <w:t>、部门整体支出绩效情况</w:t>
      </w:r>
    </w:p>
    <w:p>
      <w:pPr>
        <w:spacing w:line="480" w:lineRule="auto"/>
        <w:ind w:firstLine="643" w:firstLineChars="200"/>
        <w:jc w:val="left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  <w:lang w:val="en-US" w:eastAsia="zh-CN"/>
        </w:rPr>
        <w:t>（一）主要绩效指标完成情况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40" w:beforeAutospacing="0" w:after="0" w:afterAutospacing="0" w:line="480" w:lineRule="atLeast"/>
        <w:ind w:left="0" w:right="0" w:firstLine="420"/>
        <w:jc w:val="both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2"/>
          <w:sz w:val="32"/>
          <w:szCs w:val="32"/>
          <w:highlight w:val="none"/>
          <w:shd w:val="clear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</w:rPr>
        <w:t>1、预算执行情况。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2"/>
          <w:sz w:val="32"/>
          <w:szCs w:val="32"/>
          <w:highlight w:val="none"/>
          <w:shd w:val="clear" w:fill="FFFFFF"/>
          <w:lang w:val="en-US" w:eastAsia="zh-CN" w:bidi="ar-SA"/>
        </w:rPr>
        <w:t>⑴2022年财政拨款预算执行数582.08万元，全年预算582.08万元，预算执行率为100%；⑵公用经费预算189.65万元，实际支出189.65万元，公用经费控制率为100%；（3）“三公经费”年初预算安排4.86万元，实际支出4.86万元，“三公经费”控制率为100%。（4）政府采购年初预算139万元，实际政府采购金额149.78万元，政府采购执行率108%。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40" w:beforeAutospacing="0" w:after="0" w:afterAutospacing="0" w:line="480" w:lineRule="atLeast"/>
        <w:ind w:left="0" w:right="0" w:firstLine="420"/>
        <w:jc w:val="both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2"/>
          <w:sz w:val="32"/>
          <w:szCs w:val="32"/>
          <w:shd w:val="clear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</w:rPr>
        <w:t>2、预决算信息公开情况。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  <w:lang w:eastAsia="zh-CN"/>
        </w:rPr>
        <w:t>北塔区财政局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2"/>
          <w:sz w:val="32"/>
          <w:szCs w:val="32"/>
          <w:highlight w:val="none"/>
          <w:shd w:val="clear" w:fill="FFFFFF"/>
          <w:lang w:val="en-US" w:eastAsia="zh-CN" w:bidi="ar-SA"/>
        </w:rPr>
        <w:t>及时在区政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2"/>
          <w:sz w:val="32"/>
          <w:szCs w:val="32"/>
          <w:shd w:val="clear" w:fill="FFFFFF"/>
          <w:lang w:val="en-US" w:eastAsia="zh-CN" w:bidi="ar-SA"/>
        </w:rPr>
        <w:t>府统一平台公开了部门预算、决算和绩效目标、绩效自评报告、“三公经费”等信息，接受群众和社会监督。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40" w:beforeAutospacing="0" w:after="0" w:afterAutospacing="0" w:line="480" w:lineRule="atLeast"/>
        <w:ind w:left="0" w:right="0" w:firstLine="420"/>
        <w:jc w:val="both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2"/>
          <w:sz w:val="32"/>
          <w:szCs w:val="32"/>
          <w:shd w:val="clear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、资产管理情况。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2"/>
          <w:sz w:val="32"/>
          <w:szCs w:val="32"/>
          <w:shd w:val="clear" w:fill="FFFFFF"/>
          <w:lang w:val="en-US" w:eastAsia="zh-CN" w:bidi="ar-SA"/>
        </w:rPr>
        <w:t>截止2022年12月31日，</w:t>
      </w:r>
      <w:r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  <w:t>北塔区财政局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2"/>
          <w:sz w:val="32"/>
          <w:szCs w:val="32"/>
          <w:highlight w:val="none"/>
          <w:shd w:val="clear" w:fill="FFFFFF"/>
          <w:lang w:val="en-US" w:eastAsia="zh-CN" w:bidi="ar-SA"/>
        </w:rPr>
        <w:t>拥有各类资产总额41.94万元，其中流动资产22.05万元，固定资产净值19.89万元。单位为加强资产管理，内部制定了资产管理制度，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2"/>
          <w:sz w:val="32"/>
          <w:szCs w:val="32"/>
          <w:shd w:val="clear" w:fill="FFFFFF"/>
          <w:lang w:val="en-US" w:eastAsia="zh-CN" w:bidi="ar-SA"/>
        </w:rPr>
        <w:t>对各类资产的购置、保管、使用、报废、处置等方面都作出了明确的规定，制度要求所有办公设备（含办公用品）的添置，先由各委室提出申请，经业务分管领导审核同意后，再由办公室及时采购并建立固定资产实物登记台账，工作</w:t>
      </w:r>
      <w:bookmarkStart w:id="0" w:name="_GoBack"/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2"/>
          <w:sz w:val="32"/>
          <w:szCs w:val="32"/>
          <w:shd w:val="clear" w:fill="FFFFFF"/>
          <w:lang w:val="en-US" w:eastAsia="zh-CN" w:bidi="ar-SA"/>
        </w:rPr>
        <w:t>人员异动，必须及时办理固定资产移交手续，不得侵占和擅自带走，各委室不得擅自购买任何办公用品和设备，否则不予报销。</w:t>
      </w:r>
      <w:bookmarkEnd w:id="0"/>
    </w:p>
    <w:p>
      <w:pPr>
        <w:spacing w:line="720" w:lineRule="auto"/>
        <w:ind w:firstLine="643" w:firstLineChars="200"/>
        <w:jc w:val="left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（二）职责覆行和主要绩效情况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宋体" w:hAnsi="宋体" w:eastAsia="宋体" w:cs="宋体"/>
          <w:b w:val="0"/>
          <w:bCs w:val="0"/>
          <w:sz w:val="32"/>
          <w:szCs w:val="32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1、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</w:rPr>
        <w:t>预算执行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  <w:lang w:eastAsia="zh-CN"/>
        </w:rPr>
        <w:t>：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</w:rPr>
        <w:t>一是建立预算执行责任制。将年度预算收入责任及预算支出额度逐一分解落实到各股室，形成领导重视、衔接紧密、齐抓共管的体制机制，建立预算指标额度台账，将预算执行情况作为年度目标考核的内容。二是建立预算执行信息化管理制度。在政务公开网公布部门财政预算批复及执行情况，及时公布“三公经费”支出情况，接受监督。三是建立健全项目资金管理制度。对于财政性专项资金，严格按专项资金项目实施方案执行，督促项目承担单位加快项目实施进度，及时办理报账、验收、结算等相关手续，做到不集中使用、不滥用资金，最大限度提高专项资金利用效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宋体" w:hAnsi="宋体" w:eastAsia="宋体" w:cs="宋体"/>
          <w:b w:val="0"/>
          <w:bCs w:val="0"/>
          <w:sz w:val="32"/>
          <w:szCs w:val="32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2、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</w:rPr>
        <w:t>预算管理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  <w:lang w:eastAsia="zh-CN"/>
        </w:rPr>
        <w:t>：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</w:rPr>
        <w:t>为规范机关财务管理，建立健全财务管理制度，我局根据《会计法》、《预算法》、《政府会计准则》等法律和财政部、省财政厅有关财务规章制度等一系列合法合规、较为完整的、具有很强的可操作性财务管理制度。坚持经费预算科学化、精细化，执行控制规范化、责任化，监督检查常态化、同步化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宋体" w:hAnsi="宋体" w:eastAsia="宋体" w:cs="宋体"/>
          <w:b w:val="0"/>
          <w:bCs w:val="0"/>
          <w:sz w:val="32"/>
          <w:szCs w:val="32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</w:rPr>
        <w:t>资金的支付符合国家财经法规和财务管理制度规定，以及有关专项资金管理办法的规定；资金拨付有完整的审批程序和手续；支出符合部门预算批复的用途；资金使用没有截留、挪用、虚列支出、随意借用等情况；重大财务事项经由集体研究决策；专项资金做到专款专用；原始凭证的取得真实有效。部门预决算信息按规定内容，在规定的时限内予以公开。基础数据信息和会计信息资料真实、完整、准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宋体" w:hAnsi="宋体" w:eastAsia="宋体" w:cs="宋体"/>
          <w:b w:val="0"/>
          <w:bCs w:val="0"/>
          <w:sz w:val="32"/>
          <w:szCs w:val="32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3、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</w:rPr>
        <w:t>提升支出绩效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  <w:lang w:eastAsia="zh-CN"/>
        </w:rPr>
        <w:t>：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</w:rPr>
        <w:t>202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2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</w:rPr>
        <w:t>年，我局全面落实区委、区政府的各项工作部署，牢固树立发展意识，大力弘扬实干精神，扎实推进各项工作，各项工作任务全面完成，财务管理规范，单位行政运行稳定有序。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2"/>
          <w:sz w:val="32"/>
          <w:szCs w:val="32"/>
          <w:shd w:val="clear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4、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</w:rPr>
        <w:t>评价结论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  <w:lang w:eastAsia="zh-CN"/>
        </w:rPr>
        <w:t>：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</w:rPr>
        <w:t>我局财政资金的使用情况，认真组织开展整体支出绩效自评，自评等级“良好”。</w:t>
      </w:r>
    </w:p>
    <w:p>
      <w:pPr>
        <w:pStyle w:val="5"/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40" w:beforeAutospacing="0" w:after="0" w:afterAutospacing="0" w:line="720" w:lineRule="auto"/>
        <w:ind w:left="0" w:right="0" w:firstLine="420"/>
        <w:jc w:val="both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存在的问题及原因分析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编制人员不足，我局编制干部工作任务繁杂，身兼数职，一人多岗。</w:t>
      </w:r>
    </w:p>
    <w:p>
      <w:pPr>
        <w:pStyle w:val="5"/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40" w:beforeAutospacing="0" w:after="0" w:afterAutospacing="0" w:line="720" w:lineRule="auto"/>
        <w:ind w:left="0" w:leftChars="0" w:right="0" w:firstLine="420" w:firstLineChars="0"/>
        <w:jc w:val="both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改进措施及有关建议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（一）进一步提高绩效管理水平。加强预算执行的准确性，开展好支出绩效管理工作，运用好绩效评价结果，不断提升绩效管理水平。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</w:rPr>
        <w:t>（二）增加人员编制，缓解目前人员不足，“一人多岗，身兼数职”的现象。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229EFD1"/>
    <w:multiLevelType w:val="singleLevel"/>
    <w:tmpl w:val="A229EFD1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A71E7161"/>
    <w:multiLevelType w:val="singleLevel"/>
    <w:tmpl w:val="A71E7161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abstractNum w:abstractNumId="2">
    <w:nsid w:val="47A77A8D"/>
    <w:multiLevelType w:val="singleLevel"/>
    <w:tmpl w:val="47A77A8D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RkMDQ2MTVhMjBmNWVkNDdmODUyYjIyYmJhNjY4YWMifQ=="/>
  </w:docVars>
  <w:rsids>
    <w:rsidRoot w:val="00000000"/>
    <w:rsid w:val="00554C33"/>
    <w:rsid w:val="006D6F3B"/>
    <w:rsid w:val="00D51644"/>
    <w:rsid w:val="025D08EA"/>
    <w:rsid w:val="02A74CAA"/>
    <w:rsid w:val="05213482"/>
    <w:rsid w:val="09E17252"/>
    <w:rsid w:val="0D5E3707"/>
    <w:rsid w:val="11E84674"/>
    <w:rsid w:val="126C42B4"/>
    <w:rsid w:val="17042185"/>
    <w:rsid w:val="17B648CC"/>
    <w:rsid w:val="1D9A1B96"/>
    <w:rsid w:val="1F010C8F"/>
    <w:rsid w:val="20F63895"/>
    <w:rsid w:val="26166273"/>
    <w:rsid w:val="2B032004"/>
    <w:rsid w:val="2C3A1B18"/>
    <w:rsid w:val="2C7529D1"/>
    <w:rsid w:val="2D6C05C8"/>
    <w:rsid w:val="2DB256DE"/>
    <w:rsid w:val="3619015E"/>
    <w:rsid w:val="36E22B02"/>
    <w:rsid w:val="375C4F25"/>
    <w:rsid w:val="37A26170"/>
    <w:rsid w:val="38F247D2"/>
    <w:rsid w:val="3A365ACD"/>
    <w:rsid w:val="3B9303B2"/>
    <w:rsid w:val="3C8416D7"/>
    <w:rsid w:val="3FAB09ED"/>
    <w:rsid w:val="44AF5D78"/>
    <w:rsid w:val="45833892"/>
    <w:rsid w:val="45CB4E15"/>
    <w:rsid w:val="47D12ED9"/>
    <w:rsid w:val="4A4754D4"/>
    <w:rsid w:val="4ACA7AAB"/>
    <w:rsid w:val="4B991F60"/>
    <w:rsid w:val="4D113C42"/>
    <w:rsid w:val="4E58558A"/>
    <w:rsid w:val="4F3501F1"/>
    <w:rsid w:val="52C04276"/>
    <w:rsid w:val="53202F66"/>
    <w:rsid w:val="54517DF8"/>
    <w:rsid w:val="55C776C9"/>
    <w:rsid w:val="575435C3"/>
    <w:rsid w:val="58CA4CA4"/>
    <w:rsid w:val="59A70B1E"/>
    <w:rsid w:val="59E60318"/>
    <w:rsid w:val="5C8E7193"/>
    <w:rsid w:val="5CBC5F90"/>
    <w:rsid w:val="5E6D1153"/>
    <w:rsid w:val="5F83500A"/>
    <w:rsid w:val="60745B56"/>
    <w:rsid w:val="641F097E"/>
    <w:rsid w:val="65236940"/>
    <w:rsid w:val="65C43C25"/>
    <w:rsid w:val="664A41B0"/>
    <w:rsid w:val="66D16D4F"/>
    <w:rsid w:val="66FE6113"/>
    <w:rsid w:val="6B874FA2"/>
    <w:rsid w:val="6C3C4515"/>
    <w:rsid w:val="6C6B54E9"/>
    <w:rsid w:val="6FD52562"/>
    <w:rsid w:val="70514092"/>
    <w:rsid w:val="70852420"/>
    <w:rsid w:val="71881FAB"/>
    <w:rsid w:val="73125FD0"/>
    <w:rsid w:val="76DC35F5"/>
    <w:rsid w:val="7832658D"/>
    <w:rsid w:val="79074D5F"/>
    <w:rsid w:val="7A21330E"/>
    <w:rsid w:val="7AF745AA"/>
    <w:rsid w:val="7B7D06A6"/>
    <w:rsid w:val="7CF23984"/>
    <w:rsid w:val="7F066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99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99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semiHidden/>
    <w:qFormat/>
    <w:uiPriority w:val="99"/>
    <w:pPr>
      <w:ind w:firstLine="420" w:firstLineChars="200"/>
    </w:pPr>
  </w:style>
  <w:style w:type="paragraph" w:styleId="3">
    <w:name w:val="Body Text Indent"/>
    <w:basedOn w:val="1"/>
    <w:semiHidden/>
    <w:qFormat/>
    <w:uiPriority w:val="99"/>
    <w:pPr>
      <w:spacing w:after="120"/>
      <w:ind w:left="420" w:leftChars="200"/>
    </w:p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8">
    <w:name w:val="Default"/>
    <w:qFormat/>
    <w:uiPriority w:val="0"/>
    <w:pPr>
      <w:widowControl w:val="0"/>
      <w:autoSpaceDE w:val="0"/>
      <w:autoSpaceDN w:val="0"/>
      <w:adjustRightInd w:val="0"/>
    </w:pPr>
    <w:rPr>
      <w:rFonts w:ascii="黑体" w:eastAsia="黑体" w:cs="黑体" w:hAnsiTheme="minorHAnsi"/>
      <w:color w:val="000000"/>
      <w:kern w:val="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2394</Words>
  <Characters>2540</Characters>
  <Lines>0</Lines>
  <Paragraphs>0</Paragraphs>
  <TotalTime>2</TotalTime>
  <ScaleCrop>false</ScaleCrop>
  <LinksUpToDate>false</LinksUpToDate>
  <CharactersWithSpaces>2541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2022-06-28T09:10:00Z</dcterms:created>
  <dc:creator>Administrator</dc:creator>
  <cp:lastModifiedBy>涵</cp:lastModifiedBy>
  <dcterms:modified xsi:type="dcterms:W3CDTF">2023-09-22T03:16:00Z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940B8059199B4A289414AF523A65E0B0_13</vt:lpwstr>
  </property>
</Properties>
</file>