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bidi w:val="0"/>
        <w:spacing w:line="560" w:lineRule="exac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附件2：</w:t>
      </w:r>
    </w:p>
    <w:p>
      <w:pPr>
        <w:spacing w:after="120" w:afterLines="50" w:line="600" w:lineRule="exact"/>
        <w:jc w:val="center"/>
        <w:rPr>
          <w:rFonts w:hint="eastAsia" w:ascii="方正小标宋简体" w:hAnsi="方正小标宋简体" w:eastAsia="方正小标宋简体" w:cs="方正小标宋简体"/>
          <w:sz w:val="24"/>
          <w:highlight w:val="none"/>
        </w:rPr>
      </w:pPr>
      <w:r>
        <w:rPr>
          <w:rFonts w:hint="eastAsia" w:ascii="方正小标宋简体" w:hAnsi="方正小标宋简体" w:eastAsia="方正小标宋简体" w:cs="方正小标宋简体"/>
          <w:sz w:val="36"/>
          <w:szCs w:val="36"/>
          <w:highlight w:val="none"/>
        </w:rPr>
        <w:t>202</w:t>
      </w:r>
      <w:r>
        <w:rPr>
          <w:rFonts w:hint="eastAsia" w:ascii="方正小标宋简体" w:hAnsi="方正小标宋简体" w:eastAsia="方正小标宋简体" w:cs="方正小标宋简体"/>
          <w:sz w:val="36"/>
          <w:szCs w:val="36"/>
          <w:highlight w:val="none"/>
          <w:lang w:val="en-US" w:eastAsia="zh-CN"/>
        </w:rPr>
        <w:t>3</w:t>
      </w:r>
      <w:r>
        <w:rPr>
          <w:rFonts w:hint="eastAsia" w:ascii="方正小标宋简体" w:hAnsi="方正小标宋简体" w:eastAsia="方正小标宋简体" w:cs="方正小标宋简体"/>
          <w:sz w:val="36"/>
          <w:szCs w:val="36"/>
          <w:highlight w:val="none"/>
        </w:rPr>
        <w:t>年度部门整体支出绩效评价基础数据表</w:t>
      </w:r>
    </w:p>
    <w:tbl>
      <w:tblPr>
        <w:tblStyle w:val="5"/>
        <w:tblW w:w="9673" w:type="dxa"/>
        <w:jc w:val="center"/>
        <w:tblLayout w:type="fixed"/>
        <w:tblCellMar>
          <w:top w:w="0" w:type="dxa"/>
          <w:left w:w="108" w:type="dxa"/>
          <w:bottom w:w="0" w:type="dxa"/>
          <w:right w:w="108" w:type="dxa"/>
        </w:tblCellMar>
      </w:tblPr>
      <w:tblGrid>
        <w:gridCol w:w="3354"/>
        <w:gridCol w:w="1189"/>
        <w:gridCol w:w="849"/>
        <w:gridCol w:w="1129"/>
        <w:gridCol w:w="1111"/>
        <w:gridCol w:w="1081"/>
        <w:gridCol w:w="960"/>
      </w:tblGrid>
      <w:tr>
        <w:tblPrEx>
          <w:tblCellMar>
            <w:top w:w="0" w:type="dxa"/>
            <w:left w:w="108" w:type="dxa"/>
            <w:bottom w:w="0" w:type="dxa"/>
            <w:right w:w="108" w:type="dxa"/>
          </w:tblCellMar>
        </w:tblPrEx>
        <w:trPr>
          <w:trHeight w:val="0" w:hRule="atLeast"/>
          <w:jc w:val="center"/>
        </w:trPr>
        <w:tc>
          <w:tcPr>
            <w:tcW w:w="335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财政供养人员情况（人）</w:t>
            </w:r>
          </w:p>
        </w:tc>
        <w:tc>
          <w:tcPr>
            <w:tcW w:w="2038"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编制数</w:t>
            </w:r>
          </w:p>
        </w:tc>
        <w:tc>
          <w:tcPr>
            <w:tcW w:w="2240"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年实际在职人数</w:t>
            </w:r>
          </w:p>
        </w:tc>
        <w:tc>
          <w:tcPr>
            <w:tcW w:w="2041"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控制率</w:t>
            </w:r>
          </w:p>
        </w:tc>
      </w:tr>
      <w:tr>
        <w:tblPrEx>
          <w:tblCellMar>
            <w:top w:w="0" w:type="dxa"/>
            <w:left w:w="108" w:type="dxa"/>
            <w:bottom w:w="0" w:type="dxa"/>
            <w:right w:w="108" w:type="dxa"/>
          </w:tblCellMar>
        </w:tblPrEx>
        <w:trPr>
          <w:trHeight w:val="0" w:hRule="atLeast"/>
          <w:jc w:val="center"/>
        </w:trPr>
        <w:tc>
          <w:tcPr>
            <w:tcW w:w="335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p>
        </w:tc>
        <w:tc>
          <w:tcPr>
            <w:tcW w:w="2038"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8</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11</w:t>
            </w:r>
          </w:p>
        </w:tc>
        <w:tc>
          <w:tcPr>
            <w:tcW w:w="2041"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73%</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经费控制情况（万元）</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2</w:t>
            </w:r>
            <w:r>
              <w:rPr>
                <w:rFonts w:hint="eastAsia" w:ascii="仿宋_GB2312" w:hAnsi="仿宋_GB2312" w:eastAsia="仿宋_GB2312" w:cs="仿宋_GB2312"/>
                <w:b/>
                <w:bCs/>
                <w:sz w:val="20"/>
                <w:szCs w:val="20"/>
                <w:highlight w:val="none"/>
              </w:rPr>
              <w:t>年决算数</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年预算数</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年决算数</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三公经费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0.28</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2</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0.10</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其中：公车购置</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公车运行维护</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2、出国经费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3、公务接待</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0.28</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2</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0.10</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项目支出：</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rPr>
            </w:pPr>
            <w:r>
              <w:rPr>
                <w:rFonts w:hint="eastAsia" w:ascii="仿宋_GB2312" w:hAnsi="仿宋_GB2312" w:eastAsia="仿宋_GB2312" w:cs="仿宋_GB2312"/>
                <w:sz w:val="20"/>
                <w:szCs w:val="20"/>
                <w:highlight w:val="none"/>
                <w:lang w:val="en-US" w:eastAsia="zh-CN"/>
              </w:rPr>
              <w:t>44.99</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rPr>
            </w:pPr>
            <w:r>
              <w:rPr>
                <w:rFonts w:hint="eastAsia" w:ascii="仿宋_GB2312" w:hAnsi="仿宋_GB2312" w:eastAsia="仿宋_GB2312" w:cs="仿宋_GB2312"/>
                <w:sz w:val="20"/>
                <w:szCs w:val="20"/>
                <w:highlight w:val="none"/>
                <w:lang w:val="en-US" w:eastAsia="zh-CN"/>
              </w:rPr>
              <w:t>53.5</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89.55</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1、业务工作经费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44.987</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53.5</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89.55</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2、运行维护经费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w:t>
            </w:r>
            <w:r>
              <w:rPr>
                <w:rFonts w:hint="eastAsia" w:ascii="仿宋_GB2312" w:hAnsi="仿宋_GB2312" w:eastAsia="仿宋_GB2312" w:cs="仿宋_GB2312"/>
                <w:sz w:val="20"/>
                <w:szCs w:val="20"/>
                <w:highlight w:val="none"/>
                <w:lang w:eastAsia="zh-CN"/>
              </w:rPr>
              <w:t>区级</w:t>
            </w:r>
            <w:r>
              <w:rPr>
                <w:rFonts w:hint="eastAsia" w:ascii="仿宋_GB2312" w:hAnsi="仿宋_GB2312" w:eastAsia="仿宋_GB2312" w:cs="仿宋_GB2312"/>
                <w:sz w:val="20"/>
                <w:szCs w:val="20"/>
                <w:highlight w:val="none"/>
              </w:rPr>
              <w:t>专项资金（一个专项一行）</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公用经费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50.68</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34.24</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36.30</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其中：办公经费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FF0000"/>
                <w:sz w:val="20"/>
                <w:szCs w:val="20"/>
                <w:highlight w:val="none"/>
                <w:lang w:val="en-US"/>
              </w:rPr>
            </w:pPr>
            <w:r>
              <w:rPr>
                <w:rFonts w:hint="eastAsia" w:ascii="仿宋_GB2312" w:hAnsi="仿宋_GB2312" w:eastAsia="仿宋_GB2312" w:cs="仿宋_GB2312"/>
                <w:color w:val="FF0000"/>
                <w:sz w:val="20"/>
                <w:szCs w:val="20"/>
                <w:highlight w:val="none"/>
                <w:lang w:val="en-US" w:eastAsia="zh-CN"/>
              </w:rPr>
              <w:t>31.01</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FF0000"/>
                <w:sz w:val="20"/>
                <w:szCs w:val="20"/>
                <w:highlight w:val="none"/>
                <w:lang w:val="en-US"/>
              </w:rPr>
            </w:pPr>
            <w:r>
              <w:rPr>
                <w:rFonts w:hint="eastAsia" w:ascii="仿宋_GB2312" w:hAnsi="仿宋_GB2312" w:eastAsia="仿宋_GB2312" w:cs="仿宋_GB2312"/>
                <w:color w:val="FF0000"/>
                <w:sz w:val="20"/>
                <w:szCs w:val="20"/>
                <w:highlight w:val="none"/>
                <w:lang w:val="en-US" w:eastAsia="zh-CN"/>
              </w:rPr>
              <w:t>19.80</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水费、电费、差旅费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lang w:val="en-US" w:eastAsia="zh-CN"/>
              </w:rPr>
              <w:t>4.39</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lang w:val="en-US" w:eastAsia="zh-CN"/>
              </w:rPr>
              <w:t>10.44</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会议费、培训费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FF0000"/>
                <w:sz w:val="20"/>
                <w:szCs w:val="20"/>
                <w:highlight w:val="none"/>
                <w:lang w:val="en-US"/>
              </w:rPr>
            </w:pPr>
            <w:r>
              <w:rPr>
                <w:rFonts w:hint="eastAsia" w:ascii="仿宋_GB2312" w:hAnsi="仿宋_GB2312" w:eastAsia="仿宋_GB2312" w:cs="仿宋_GB2312"/>
                <w:color w:val="FF0000"/>
                <w:sz w:val="20"/>
                <w:szCs w:val="20"/>
                <w:highlight w:val="none"/>
                <w:lang w:val="en-US" w:eastAsia="zh-CN"/>
              </w:rPr>
              <w:t>1.55</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FF0000"/>
                <w:sz w:val="20"/>
                <w:szCs w:val="20"/>
                <w:highlight w:val="none"/>
              </w:rPr>
            </w:pPr>
            <w:r>
              <w:rPr>
                <w:rFonts w:hint="eastAsia" w:ascii="仿宋_GB2312" w:hAnsi="仿宋_GB2312" w:eastAsia="仿宋_GB2312" w:cs="仿宋_GB2312"/>
                <w:color w:val="FF0000"/>
                <w:sz w:val="20"/>
                <w:szCs w:val="20"/>
                <w:highlight w:val="none"/>
                <w:lang w:val="en-US" w:eastAsia="zh-CN"/>
              </w:rPr>
              <w:t>0.94</w:t>
            </w:r>
            <w:r>
              <w:rPr>
                <w:rFonts w:hint="eastAsia" w:ascii="仿宋_GB2312" w:hAnsi="仿宋_GB2312" w:eastAsia="仿宋_GB2312" w:cs="仿宋_GB2312"/>
                <w:color w:val="FF0000"/>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政府采购金额</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29.54</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w:t>
            </w:r>
            <w:r>
              <w:rPr>
                <w:rFonts w:hint="eastAsia" w:ascii="仿宋_GB2312" w:hAnsi="仿宋_GB2312" w:eastAsia="仿宋_GB2312" w:cs="仿宋_GB2312"/>
                <w:sz w:val="20"/>
                <w:szCs w:val="20"/>
                <w:highlight w:val="none"/>
                <w:lang w:val="en-US" w:eastAsia="zh-CN"/>
              </w:rPr>
              <w:t>0</w:t>
            </w:r>
          </w:p>
        </w:tc>
      </w:tr>
      <w:tr>
        <w:tblPrEx>
          <w:tblCellMar>
            <w:top w:w="0" w:type="dxa"/>
            <w:left w:w="108" w:type="dxa"/>
            <w:bottom w:w="0" w:type="dxa"/>
            <w:right w:w="108" w:type="dxa"/>
          </w:tblCellMar>
        </w:tblPrEx>
        <w:trPr>
          <w:trHeight w:val="0" w:hRule="atLeast"/>
          <w:jc w:val="center"/>
        </w:trPr>
        <w:tc>
          <w:tcPr>
            <w:tcW w:w="3354" w:type="dxa"/>
            <w:vMerge w:val="restart"/>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楼堂馆所控制情况</w:t>
            </w:r>
            <w:r>
              <w:rPr>
                <w:rFonts w:hint="eastAsia" w:ascii="仿宋_GB2312" w:hAnsi="仿宋_GB2312" w:eastAsia="仿宋_GB2312" w:cs="仿宋_GB2312"/>
                <w:sz w:val="20"/>
                <w:szCs w:val="20"/>
                <w:highlight w:val="none"/>
              </w:rPr>
              <w:br w:type="textWrapping"/>
            </w:r>
            <w:r>
              <w:rPr>
                <w:rFonts w:hint="eastAsia" w:ascii="仿宋_GB2312" w:hAnsi="仿宋_GB2312" w:eastAsia="仿宋_GB2312" w:cs="仿宋_GB2312"/>
                <w:sz w:val="20"/>
                <w:szCs w:val="20"/>
                <w:highlight w:val="none"/>
              </w:rPr>
              <w:t>（202</w:t>
            </w:r>
            <w:r>
              <w:rPr>
                <w:rFonts w:hint="eastAsia" w:ascii="仿宋_GB2312" w:hAnsi="仿宋_GB2312" w:eastAsia="仿宋_GB2312" w:cs="仿宋_GB2312"/>
                <w:sz w:val="20"/>
                <w:szCs w:val="20"/>
                <w:highlight w:val="none"/>
                <w:lang w:val="en-US" w:eastAsia="zh-CN"/>
              </w:rPr>
              <w:t>3</w:t>
            </w:r>
            <w:r>
              <w:rPr>
                <w:rFonts w:hint="eastAsia" w:ascii="仿宋_GB2312" w:hAnsi="仿宋_GB2312" w:eastAsia="仿宋_GB2312" w:cs="仿宋_GB2312"/>
                <w:sz w:val="20"/>
                <w:szCs w:val="20"/>
                <w:highlight w:val="none"/>
              </w:rPr>
              <w:t>年完工项目）</w:t>
            </w:r>
          </w:p>
        </w:tc>
        <w:tc>
          <w:tcPr>
            <w:tcW w:w="118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批复规模</w:t>
            </w:r>
            <w:r>
              <w:rPr>
                <w:rFonts w:hint="eastAsia" w:ascii="仿宋_GB2312" w:hAnsi="仿宋_GB2312" w:eastAsia="仿宋_GB2312" w:cs="仿宋_GB2312"/>
                <w:bCs/>
                <w:sz w:val="20"/>
                <w:szCs w:val="20"/>
                <w:highlight w:val="none"/>
              </w:rPr>
              <w:br w:type="textWrapping"/>
            </w:r>
            <w:r>
              <w:rPr>
                <w:rFonts w:hint="eastAsia" w:ascii="仿宋_GB2312" w:hAnsi="仿宋_GB2312" w:eastAsia="仿宋_GB2312" w:cs="仿宋_GB2312"/>
                <w:bCs/>
                <w:sz w:val="20"/>
                <w:szCs w:val="20"/>
                <w:highlight w:val="none"/>
              </w:rPr>
              <w:t>（㎡）</w:t>
            </w:r>
          </w:p>
        </w:tc>
        <w:tc>
          <w:tcPr>
            <w:tcW w:w="84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实际规模（㎡）</w:t>
            </w:r>
          </w:p>
        </w:tc>
        <w:tc>
          <w:tcPr>
            <w:tcW w:w="112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规模控制率</w:t>
            </w:r>
          </w:p>
        </w:tc>
        <w:tc>
          <w:tcPr>
            <w:tcW w:w="1111"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预算投资（万元）</w:t>
            </w:r>
          </w:p>
        </w:tc>
        <w:tc>
          <w:tcPr>
            <w:tcW w:w="1081"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实际投资（万元）</w:t>
            </w:r>
          </w:p>
        </w:tc>
        <w:tc>
          <w:tcPr>
            <w:tcW w:w="960"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投资概算控制率</w:t>
            </w:r>
          </w:p>
        </w:tc>
      </w:tr>
      <w:tr>
        <w:tblPrEx>
          <w:tblCellMar>
            <w:top w:w="0" w:type="dxa"/>
            <w:left w:w="108" w:type="dxa"/>
            <w:bottom w:w="0" w:type="dxa"/>
            <w:right w:w="108" w:type="dxa"/>
          </w:tblCellMar>
        </w:tblPrEx>
        <w:trPr>
          <w:trHeight w:val="0" w:hRule="atLeast"/>
          <w:jc w:val="center"/>
        </w:trPr>
        <w:tc>
          <w:tcPr>
            <w:tcW w:w="3354" w:type="dxa"/>
            <w:vMerge w:val="continue"/>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p>
        </w:tc>
        <w:tc>
          <w:tcPr>
            <w:tcW w:w="118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eastAsia="zh-CN"/>
              </w:rPr>
              <w:t>无</w:t>
            </w:r>
            <w:r>
              <w:rPr>
                <w:rFonts w:hint="eastAsia" w:ascii="仿宋_GB2312" w:hAnsi="仿宋_GB2312" w:eastAsia="仿宋_GB2312" w:cs="仿宋_GB2312"/>
                <w:sz w:val="20"/>
                <w:szCs w:val="20"/>
                <w:highlight w:val="none"/>
              </w:rPr>
              <w:t>　</w:t>
            </w:r>
          </w:p>
        </w:tc>
        <w:tc>
          <w:tcPr>
            <w:tcW w:w="849" w:type="dxa"/>
            <w:tcBorders>
              <w:top w:val="nil"/>
              <w:left w:val="nil"/>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1129" w:type="dxa"/>
            <w:tcBorders>
              <w:top w:val="nil"/>
              <w:left w:val="nil"/>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1111" w:type="dxa"/>
            <w:tcBorders>
              <w:top w:val="nil"/>
              <w:left w:val="nil"/>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1081" w:type="dxa"/>
            <w:tcBorders>
              <w:top w:val="nil"/>
              <w:left w:val="nil"/>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960" w:type="dxa"/>
            <w:tcBorders>
              <w:top w:val="nil"/>
              <w:left w:val="nil"/>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厉行节约保障措施</w:t>
            </w:r>
          </w:p>
        </w:tc>
        <w:tc>
          <w:tcPr>
            <w:tcW w:w="6319" w:type="dxa"/>
            <w:gridSpan w:val="6"/>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bl>
    <w:p>
      <w:pPr>
        <w:widowControl/>
        <w:spacing w:afterLines="0" w:line="400" w:lineRule="exact"/>
        <w:jc w:val="left"/>
        <w:rPr>
          <w:rFonts w:hint="default" w:ascii="Times New Roman" w:hAnsi="Times New Roman" w:eastAsia="仿宋_GB2312" w:cs="Times New Roman"/>
          <w:sz w:val="22"/>
          <w:highlight w:val="none"/>
        </w:rPr>
      </w:pPr>
      <w:r>
        <w:rPr>
          <w:rFonts w:hint="default" w:ascii="Times New Roman" w:hAnsi="Times New Roman" w:eastAsia="仿宋_GB2312" w:cs="Times New Roman"/>
          <w:sz w:val="22"/>
          <w:highlight w:val="none"/>
        </w:rPr>
        <w:t>说明：“项目支出”需要填报基本支出以外的所有项目支出情况，“公用经费”填报基本支出中的一般商品和服务支出。</w:t>
      </w:r>
    </w:p>
    <w:p>
      <w:pPr>
        <w:widowControl/>
        <w:spacing w:afterLines="0" w:line="400" w:lineRule="exact"/>
        <w:jc w:val="left"/>
        <w:rPr>
          <w:rFonts w:hint="default" w:ascii="Times New Roman" w:hAnsi="Times New Roman" w:eastAsia="仿宋_GB2312" w:cs="Times New Roman"/>
          <w:sz w:val="22"/>
          <w:highlight w:val="none"/>
        </w:rPr>
      </w:pPr>
    </w:p>
    <w:p>
      <w:pPr>
        <w:pStyle w:val="8"/>
        <w:ind w:left="0" w:leftChars="0" w:firstLine="0" w:firstLineChars="0"/>
        <w:rPr>
          <w:rFonts w:hint="default" w:ascii="Times New Roman" w:hAnsi="Times New Roman" w:eastAsia="仿宋_GB2312" w:cs="Times New Roman"/>
          <w:sz w:val="22"/>
          <w:highlight w:val="none"/>
        </w:rPr>
      </w:pPr>
      <w:r>
        <w:rPr>
          <w:rFonts w:hint="default" w:ascii="Times New Roman" w:hAnsi="Times New Roman" w:eastAsia="仿宋_GB2312" w:cs="Times New Roman"/>
          <w:sz w:val="22"/>
          <w:highlight w:val="none"/>
        </w:rPr>
        <w:t>填表人：</w:t>
      </w:r>
      <w:r>
        <w:rPr>
          <w:rFonts w:hint="eastAsia" w:eastAsia="仿宋_GB2312" w:cs="Times New Roman"/>
          <w:sz w:val="22"/>
          <w:highlight w:val="none"/>
          <w:lang w:eastAsia="zh-CN"/>
        </w:rPr>
        <w:t>熊徽</w:t>
      </w:r>
      <w:r>
        <w:rPr>
          <w:rFonts w:hint="default" w:ascii="Times New Roman" w:hAnsi="Times New Roman" w:eastAsia="仿宋_GB2312" w:cs="Times New Roman"/>
          <w:sz w:val="22"/>
          <w:highlight w:val="none"/>
        </w:rPr>
        <w:t xml:space="preserve"> 填报日期：</w:t>
      </w:r>
      <w:r>
        <w:rPr>
          <w:rFonts w:hint="eastAsia" w:eastAsia="仿宋_GB2312" w:cs="Times New Roman"/>
          <w:sz w:val="22"/>
          <w:highlight w:val="none"/>
          <w:lang w:val="en-US" w:eastAsia="zh-CN"/>
        </w:rPr>
        <w:t>2</w:t>
      </w:r>
      <w:r>
        <w:rPr>
          <w:rFonts w:hint="eastAsia" w:ascii="Times New Roman" w:hAnsi="Times New Roman" w:eastAsia="仿宋_GB2312" w:cs="Times New Roman"/>
          <w:sz w:val="22"/>
          <w:highlight w:val="none"/>
          <w:lang w:val="en-US" w:eastAsia="zh-CN"/>
        </w:rPr>
        <w:t>024年5月28日</w:t>
      </w:r>
      <w:r>
        <w:rPr>
          <w:rFonts w:hint="default" w:ascii="Times New Roman" w:hAnsi="Times New Roman" w:eastAsia="仿宋_GB2312" w:cs="Times New Roman"/>
          <w:sz w:val="22"/>
          <w:highlight w:val="none"/>
        </w:rPr>
        <w:t>联系电话：</w:t>
      </w:r>
      <w:r>
        <w:rPr>
          <w:rFonts w:hint="eastAsia" w:eastAsia="仿宋_GB2312" w:cs="Times New Roman"/>
          <w:sz w:val="22"/>
          <w:highlight w:val="none"/>
          <w:lang w:val="en-US" w:eastAsia="zh-CN"/>
        </w:rPr>
        <w:t>13707303937</w:t>
      </w:r>
      <w:r>
        <w:rPr>
          <w:rFonts w:hint="default" w:ascii="Times New Roman" w:hAnsi="Times New Roman" w:eastAsia="仿宋_GB2312" w:cs="Times New Roman"/>
          <w:sz w:val="22"/>
          <w:highlight w:val="none"/>
        </w:rPr>
        <w:t>单位负责人签字：</w:t>
      </w:r>
    </w:p>
    <w:p>
      <w:pPr>
        <w:pStyle w:val="8"/>
        <w:rPr>
          <w:rFonts w:hint="default" w:ascii="Times New Roman" w:hAnsi="Times New Roman" w:eastAsia="仿宋_GB2312" w:cs="Times New Roman"/>
          <w:sz w:val="22"/>
          <w:highlight w:val="none"/>
        </w:r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default" w:ascii="Times New Roman" w:hAnsi="Times New Roman" w:eastAsia="仿宋_GB2312" w:cs="Times New Roman"/>
          <w:sz w:val="22"/>
          <w:highlight w:val="none"/>
        </w:rPr>
        <w:br w:type="page"/>
      </w: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岳阳市云溪</w:t>
      </w:r>
      <w:r>
        <w:rPr>
          <w:rFonts w:hint="eastAsia" w:eastAsia="仿宋_GB2312"/>
          <w:sz w:val="32"/>
          <w:szCs w:val="32"/>
          <w:u w:val="single"/>
          <w:lang w:eastAsia="zh-CN"/>
        </w:rPr>
        <w:t>区委统战部</w:t>
      </w:r>
      <w:r>
        <w:rPr>
          <w:rFonts w:hint="eastAsia" w:eastAsia="仿宋_GB2312"/>
          <w:sz w:val="32"/>
          <w:szCs w:val="32"/>
          <w:highlight w:val="none"/>
          <w:u w:val="single"/>
        </w:rPr>
        <w:t xml:space="preserve">  </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ascii="Calibri" w:hAnsi="Calibri" w:eastAsia="仿宋_GB2312" w:cs="Times New Roman"/>
          <w:sz w:val="32"/>
          <w:szCs w:val="32"/>
          <w:highlight w:val="none"/>
          <w:u w:val="single"/>
          <w:lang w:val="en-US" w:eastAsia="zh-CN"/>
        </w:rPr>
        <w:t xml:space="preserve">  </w:t>
      </w:r>
      <w:r>
        <w:rPr>
          <w:rFonts w:hint="eastAsia" w:eastAsia="仿宋_GB2312"/>
          <w:spacing w:val="20"/>
          <w:sz w:val="32"/>
          <w:szCs w:val="32"/>
          <w:highlight w:val="none"/>
          <w:u w:val="single"/>
          <w:lang w:val="en-US" w:eastAsia="zh-CN"/>
        </w:rPr>
        <w:t>113001</w:t>
      </w:r>
      <w:r>
        <w:rPr>
          <w:rFonts w:hint="eastAsia" w:eastAsia="仿宋_GB2312"/>
          <w:sz w:val="32"/>
          <w:szCs w:val="32"/>
          <w:highlight w:val="none"/>
          <w:u w:val="single"/>
        </w:rPr>
        <w:t xml:space="preserve">     </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年</w:t>
      </w:r>
      <w:r>
        <w:rPr>
          <w:rFonts w:hint="eastAsia" w:eastAsia="仿宋_GB2312"/>
          <w:sz w:val="32"/>
          <w:lang w:val="en-US" w:eastAsia="zh-CN"/>
        </w:rPr>
        <w:t>5</w:t>
      </w:r>
      <w:r>
        <w:rPr>
          <w:rFonts w:hint="eastAsia" w:eastAsia="仿宋_GB2312"/>
          <w:sz w:val="32"/>
        </w:rPr>
        <w:t xml:space="preserve">月 </w:t>
      </w:r>
      <w:r>
        <w:rPr>
          <w:rFonts w:hint="eastAsia" w:eastAsia="仿宋_GB2312"/>
          <w:sz w:val="32"/>
          <w:lang w:val="en-US" w:eastAsia="zh-CN"/>
        </w:rPr>
        <w:t>28</w:t>
      </w:r>
      <w:r>
        <w:rPr>
          <w:rFonts w:hint="eastAsia" w:eastAsia="仿宋_GB2312"/>
          <w:sz w:val="32"/>
        </w:rPr>
        <w:t>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8"/>
        <w:rPr>
          <w:rFonts w:hint="eastAsia" w:eastAsia="仿宋_GB2312"/>
          <w:sz w:val="32"/>
          <w:szCs w:val="32"/>
        </w:rPr>
      </w:pPr>
    </w:p>
    <w:p>
      <w:pPr>
        <w:pStyle w:val="8"/>
        <w:rPr>
          <w:rFonts w:hint="eastAsia" w:eastAsia="仿宋_GB2312"/>
          <w:sz w:val="32"/>
          <w:szCs w:val="32"/>
        </w:rPr>
      </w:pPr>
    </w:p>
    <w:p>
      <w:pPr>
        <w:pStyle w:val="8"/>
        <w:rPr>
          <w:rFonts w:hint="eastAsia" w:eastAsia="仿宋_GB2312"/>
          <w:sz w:val="32"/>
          <w:szCs w:val="32"/>
        </w:rPr>
      </w:pPr>
    </w:p>
    <w:p>
      <w:pPr>
        <w:pStyle w:val="8"/>
        <w:rPr>
          <w:rFonts w:hint="eastAsia" w:eastAsia="仿宋_GB2312"/>
          <w:sz w:val="32"/>
          <w:szCs w:val="32"/>
        </w:rPr>
      </w:pPr>
    </w:p>
    <w:p>
      <w:pPr>
        <w:pStyle w:val="8"/>
        <w:rPr>
          <w:rFonts w:hint="eastAsia" w:eastAsia="仿宋_GB2312"/>
          <w:sz w:val="32"/>
          <w:szCs w:val="32"/>
        </w:rPr>
      </w:pPr>
    </w:p>
    <w:p>
      <w:pPr>
        <w:pStyle w:val="8"/>
        <w:rPr>
          <w:rFonts w:hint="eastAsia" w:eastAsia="仿宋_GB2312"/>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tbl>
      <w:tblPr>
        <w:tblStyle w:val="5"/>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753"/>
        <w:gridCol w:w="780"/>
        <w:gridCol w:w="121"/>
        <w:gridCol w:w="824"/>
        <w:gridCol w:w="395"/>
        <w:gridCol w:w="1080"/>
        <w:gridCol w:w="5"/>
        <w:gridCol w:w="1257"/>
        <w:gridCol w:w="5"/>
        <w:gridCol w:w="5"/>
        <w:gridCol w:w="1143"/>
        <w:gridCol w:w="15"/>
        <w:gridCol w:w="311"/>
        <w:gridCol w:w="422"/>
        <w:gridCol w:w="477"/>
        <w:gridCol w:w="155"/>
        <w:gridCol w:w="30"/>
        <w:gridCol w:w="325"/>
        <w:gridCol w:w="720"/>
        <w:gridCol w:w="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9800" w:type="dxa"/>
            <w:gridSpan w:val="20"/>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三、部门（单位）整体支出绩效自评情况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42" w:hRule="atLeast"/>
          <w:jc w:val="center"/>
        </w:trPr>
        <w:tc>
          <w:tcPr>
            <w:tcW w:w="753" w:type="dxa"/>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2120" w:type="dxa"/>
            <w:gridSpan w:val="4"/>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108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年初预算</w:t>
            </w:r>
          </w:p>
        </w:tc>
        <w:tc>
          <w:tcPr>
            <w:tcW w:w="1262"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全年预算数</w:t>
            </w:r>
          </w:p>
        </w:tc>
        <w:tc>
          <w:tcPr>
            <w:tcW w:w="2378"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全年执行数</w:t>
            </w:r>
          </w:p>
        </w:tc>
        <w:tc>
          <w:tcPr>
            <w:tcW w:w="510"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分值</w:t>
            </w:r>
          </w:p>
        </w:tc>
        <w:tc>
          <w:tcPr>
            <w:tcW w:w="72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执行率</w:t>
            </w:r>
          </w:p>
        </w:tc>
        <w:tc>
          <w:tcPr>
            <w:tcW w:w="977" w:type="dxa"/>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22" w:hRule="atLeast"/>
          <w:jc w:val="center"/>
        </w:trPr>
        <w:tc>
          <w:tcPr>
            <w:tcW w:w="753" w:type="dxa"/>
            <w:vMerge w:val="restart"/>
            <w:tcBorders>
              <w:right w:val="single" w:color="auto" w:sz="4" w:space="0"/>
            </w:tcBorders>
            <w:noWrap w:val="0"/>
            <w:vAlign w:val="center"/>
          </w:tcPr>
          <w:p>
            <w:pPr>
              <w:keepNext w:val="0"/>
              <w:keepLines w:val="0"/>
              <w:pageBreakBefore w:val="0"/>
              <w:widowControl w:val="0"/>
              <w:tabs>
                <w:tab w:val="left" w:pos="498"/>
              </w:tabs>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年度预算申请</w:t>
            </w:r>
          </w:p>
          <w:p>
            <w:pPr>
              <w:pStyle w:val="8"/>
              <w:keepNext w:val="0"/>
              <w:keepLines w:val="0"/>
              <w:pageBreakBefore w:val="0"/>
              <w:widowControl w:val="0"/>
              <w:kinsoku/>
              <w:wordWrap/>
              <w:overflowPunct/>
              <w:topLinePunct w:val="0"/>
              <w:autoSpaceDE/>
              <w:bidi w:val="0"/>
              <w:adjustRightInd/>
              <w:snapToGrid/>
              <w:spacing w:line="240" w:lineRule="exact"/>
              <w:ind w:left="0" w:leftChars="0" w:firstLine="0" w:firstLineChars="0"/>
              <w:jc w:val="center"/>
              <w:rPr>
                <w:rFonts w:hint="eastAsia"/>
                <w:lang w:val="en-US" w:eastAsia="zh-CN"/>
              </w:rPr>
            </w:pPr>
            <w:r>
              <w:rPr>
                <w:rFonts w:hint="eastAsia" w:ascii="仿宋_GB2312" w:hAnsi="仿宋_GB2312" w:eastAsia="仿宋_GB2312" w:cs="仿宋_GB2312"/>
                <w:color w:val="000000"/>
                <w:sz w:val="18"/>
                <w:szCs w:val="18"/>
                <w:lang w:val="en-US" w:eastAsia="zh-CN"/>
              </w:rPr>
              <w:t>（万元）</w:t>
            </w:r>
          </w:p>
        </w:tc>
        <w:tc>
          <w:tcPr>
            <w:tcW w:w="2120" w:type="dxa"/>
            <w:gridSpan w:val="4"/>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年度资金总额</w:t>
            </w:r>
          </w:p>
        </w:tc>
        <w:tc>
          <w:tcPr>
            <w:tcW w:w="108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224.89</w:t>
            </w:r>
          </w:p>
        </w:tc>
        <w:tc>
          <w:tcPr>
            <w:tcW w:w="1262"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290.48</w:t>
            </w:r>
          </w:p>
        </w:tc>
        <w:tc>
          <w:tcPr>
            <w:tcW w:w="2378"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290.48</w:t>
            </w:r>
          </w:p>
        </w:tc>
        <w:tc>
          <w:tcPr>
            <w:tcW w:w="510"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72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977" w:type="dxa"/>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37"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462"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按收入性质分：</w:t>
            </w: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02"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462"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其中：一般公共预算：289.87</w:t>
            </w: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其中：基本支出200.93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90"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462"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政府性基金拨款：</w:t>
            </w: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项目支出89.55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22"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462"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纳入专户管理的非税收入拨款：</w:t>
            </w: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7"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462"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其他资金：0.61</w:t>
            </w: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87" w:hRule="atLeast"/>
          <w:jc w:val="center"/>
        </w:trPr>
        <w:tc>
          <w:tcPr>
            <w:tcW w:w="753"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年度总体</w:t>
            </w:r>
          </w:p>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目标</w:t>
            </w:r>
          </w:p>
        </w:tc>
        <w:tc>
          <w:tcPr>
            <w:tcW w:w="4462"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预期目标</w:t>
            </w:r>
          </w:p>
        </w:tc>
        <w:tc>
          <w:tcPr>
            <w:tcW w:w="4585" w:type="dxa"/>
            <w:gridSpan w:val="12"/>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实际完成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27"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240" w:lineRule="exact"/>
              <w:rPr>
                <w:rFonts w:hint="eastAsia" w:ascii="仿宋_GB2312" w:hAnsi="仿宋_GB2312" w:eastAsia="仿宋_GB2312" w:cs="仿宋_GB2312"/>
                <w:sz w:val="18"/>
                <w:szCs w:val="18"/>
              </w:rPr>
            </w:pPr>
          </w:p>
        </w:tc>
        <w:tc>
          <w:tcPr>
            <w:tcW w:w="4462" w:type="dxa"/>
            <w:gridSpan w:val="7"/>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rPr>
            </w:pPr>
          </w:p>
        </w:tc>
        <w:tc>
          <w:tcPr>
            <w:tcW w:w="4585" w:type="dxa"/>
            <w:gridSpan w:val="1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753"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绩效指标</w:t>
            </w:r>
          </w:p>
        </w:tc>
        <w:tc>
          <w:tcPr>
            <w:tcW w:w="780" w:type="dxa"/>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一级指标</w:t>
            </w:r>
          </w:p>
        </w:tc>
        <w:tc>
          <w:tcPr>
            <w:tcW w:w="945"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二级指标</w:t>
            </w:r>
          </w:p>
        </w:tc>
        <w:tc>
          <w:tcPr>
            <w:tcW w:w="147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三级指标</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年度指标</w:t>
            </w:r>
          </w:p>
        </w:tc>
        <w:tc>
          <w:tcPr>
            <w:tcW w:w="114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实际完成值</w:t>
            </w:r>
          </w:p>
        </w:tc>
        <w:tc>
          <w:tcPr>
            <w:tcW w:w="748"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分值</w:t>
            </w:r>
          </w:p>
        </w:tc>
        <w:tc>
          <w:tcPr>
            <w:tcW w:w="632"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得分</w:t>
            </w:r>
          </w:p>
        </w:tc>
        <w:tc>
          <w:tcPr>
            <w:tcW w:w="2052" w:type="dxa"/>
            <w:gridSpan w:val="4"/>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产出目标</w:t>
            </w:r>
          </w:p>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rPr>
              <w:t>（</w:t>
            </w:r>
            <w:r>
              <w:rPr>
                <w:rFonts w:hint="eastAsia" w:ascii="仿宋_GB2312" w:hAnsi="仿宋_GB2312" w:eastAsia="仿宋_GB2312" w:cs="仿宋_GB2312"/>
                <w:color w:val="000000"/>
                <w:sz w:val="18"/>
                <w:szCs w:val="18"/>
                <w:lang w:val="en-US" w:eastAsia="zh-CN"/>
              </w:rPr>
              <w:t>50分）</w:t>
            </w: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质量指标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轮训学习成功率</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95%</w:t>
            </w:r>
          </w:p>
        </w:tc>
        <w:tc>
          <w:tcPr>
            <w:tcW w:w="1158" w:type="dxa"/>
            <w:gridSpan w:val="2"/>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733" w:type="dxa"/>
            <w:gridSpan w:val="2"/>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13</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13</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数量指标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统战对象轮训</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100人</w:t>
            </w: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15</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15</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61"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61"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时效指标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本年度内</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95%</w:t>
            </w: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按时完成</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13</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13</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成本指标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成本支出控制在预算内</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rPr>
              <w:t>34万元</w:t>
            </w: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36万元</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9</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效益目标</w:t>
            </w:r>
          </w:p>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w:t>
            </w:r>
            <w:r>
              <w:rPr>
                <w:rFonts w:hint="eastAsia" w:ascii="仿宋_GB2312" w:hAnsi="仿宋_GB2312" w:eastAsia="仿宋_GB2312" w:cs="仿宋_GB2312"/>
                <w:color w:val="000000"/>
                <w:sz w:val="18"/>
                <w:szCs w:val="18"/>
                <w:lang w:val="en-US" w:eastAsia="zh-CN"/>
              </w:rPr>
              <w:t>30分</w:t>
            </w:r>
            <w:r>
              <w:rPr>
                <w:rFonts w:hint="eastAsia" w:ascii="仿宋_GB2312" w:hAnsi="仿宋_GB2312" w:eastAsia="仿宋_GB2312" w:cs="仿宋_GB2312"/>
                <w:color w:val="000000"/>
                <w:sz w:val="18"/>
                <w:szCs w:val="18"/>
              </w:rPr>
              <w:t>）</w:t>
            </w: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社会效益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维护统一战线和谐稳定</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95%</w:t>
            </w: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确保民族宗教领域和谐稳定</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13</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12</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经济效益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改善营商环境</w:t>
            </w:r>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95%</w:t>
            </w: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改善营商环境加强招商</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13</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11</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tcBorders>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生态效益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bookmarkStart w:id="0" w:name="_GoBack"/>
            <w:bookmarkEnd w:id="0"/>
          </w:p>
        </w:tc>
        <w:tc>
          <w:tcPr>
            <w:tcW w:w="1267"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42"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tcBorders>
              <w:top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满意度</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10分</w:t>
            </w:r>
            <w:r>
              <w:rPr>
                <w:rFonts w:hint="eastAsia" w:ascii="仿宋_GB2312" w:hAnsi="仿宋_GB2312" w:eastAsia="仿宋_GB2312" w:cs="仿宋_GB2312"/>
                <w:sz w:val="18"/>
                <w:szCs w:val="18"/>
                <w:lang w:eastAsia="zh-CN"/>
              </w:rPr>
              <w:t>）</w:t>
            </w: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社会公众或服务对象满意度</w:t>
            </w:r>
          </w:p>
        </w:tc>
        <w:tc>
          <w:tcPr>
            <w:tcW w:w="1480" w:type="dxa"/>
            <w:gridSpan w:val="3"/>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服务对象满意度</w:t>
            </w:r>
          </w:p>
        </w:tc>
        <w:tc>
          <w:tcPr>
            <w:tcW w:w="1267" w:type="dxa"/>
            <w:gridSpan w:val="3"/>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eastAsia="zh-CN"/>
              </w:rPr>
              <w:t>》</w:t>
            </w:r>
            <w:r>
              <w:rPr>
                <w:rFonts w:hint="eastAsia" w:ascii="仿宋_GB2312" w:hAnsi="仿宋_GB2312" w:eastAsia="仿宋_GB2312" w:cs="仿宋_GB2312"/>
                <w:color w:val="000000"/>
                <w:sz w:val="18"/>
                <w:szCs w:val="18"/>
                <w:lang w:val="en-US" w:eastAsia="zh-CN"/>
              </w:rPr>
              <w:t>95%</w:t>
            </w:r>
          </w:p>
        </w:tc>
        <w:tc>
          <w:tcPr>
            <w:tcW w:w="1158" w:type="dxa"/>
            <w:gridSpan w:val="2"/>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733" w:type="dxa"/>
            <w:gridSpan w:val="2"/>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13</w:t>
            </w:r>
          </w:p>
        </w:tc>
        <w:tc>
          <w:tcPr>
            <w:tcW w:w="662" w:type="dxa"/>
            <w:gridSpan w:val="3"/>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12</w:t>
            </w:r>
          </w:p>
        </w:tc>
        <w:tc>
          <w:tcPr>
            <w:tcW w:w="2022" w:type="dxa"/>
            <w:gridSpan w:val="3"/>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88"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lang w:eastAsia="zh-CN"/>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top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267" w:type="dxa"/>
            <w:gridSpan w:val="3"/>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158" w:type="dxa"/>
            <w:gridSpan w:val="2"/>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top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2478"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绩效自评综合得分</w:t>
            </w:r>
          </w:p>
        </w:tc>
        <w:tc>
          <w:tcPr>
            <w:tcW w:w="7322" w:type="dxa"/>
            <w:gridSpan w:val="16"/>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2478"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评价等次</w:t>
            </w:r>
          </w:p>
        </w:tc>
        <w:tc>
          <w:tcPr>
            <w:tcW w:w="7322" w:type="dxa"/>
            <w:gridSpan w:val="16"/>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优秀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20"/>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廖佳玮</w:t>
            </w:r>
          </w:p>
        </w:tc>
        <w:tc>
          <w:tcPr>
            <w:tcW w:w="3561"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副部长</w:t>
            </w:r>
          </w:p>
        </w:tc>
        <w:tc>
          <w:tcPr>
            <w:tcW w:w="1479"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区委统战部</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汤简瑕</w:t>
            </w:r>
          </w:p>
        </w:tc>
        <w:tc>
          <w:tcPr>
            <w:tcW w:w="3561"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办公室负责人</w:t>
            </w:r>
          </w:p>
        </w:tc>
        <w:tc>
          <w:tcPr>
            <w:tcW w:w="1479"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区委统战部</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熊徽</w:t>
            </w:r>
          </w:p>
        </w:tc>
        <w:tc>
          <w:tcPr>
            <w:tcW w:w="3561"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统战事务中心主任</w:t>
            </w:r>
          </w:p>
        </w:tc>
        <w:tc>
          <w:tcPr>
            <w:tcW w:w="1479"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区委统战部</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20"/>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20"/>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20"/>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keepNext w:val="0"/>
        <w:keepLines w:val="0"/>
        <w:pageBreakBefore w:val="0"/>
        <w:kinsoku/>
        <w:overflowPunct/>
        <w:topLinePunct w:val="0"/>
        <w:autoSpaceDE/>
        <w:bidi w:val="0"/>
        <w:spacing w:line="560" w:lineRule="exact"/>
        <w:rPr>
          <w:rFonts w:hint="default" w:eastAsia="仿宋_GB2312" w:cs="仿宋_GB2312"/>
          <w:bCs/>
          <w:sz w:val="28"/>
          <w:szCs w:val="28"/>
          <w:lang w:val="en-US" w:eastAsia="zh-CN"/>
        </w:rPr>
      </w:pPr>
      <w:r>
        <w:rPr>
          <w:rFonts w:hint="eastAsia" w:eastAsia="仿宋_GB2312" w:cs="仿宋_GB2312"/>
          <w:bCs/>
          <w:sz w:val="28"/>
          <w:szCs w:val="28"/>
        </w:rPr>
        <w:t>填报人（签名）：                          联系电话：</w:t>
      </w:r>
      <w:r>
        <w:rPr>
          <w:rFonts w:hint="eastAsia" w:eastAsia="仿宋_GB2312" w:cs="仿宋_GB2312"/>
          <w:bCs/>
          <w:sz w:val="28"/>
          <w:szCs w:val="28"/>
          <w:lang w:val="en-US" w:eastAsia="zh-CN"/>
        </w:rPr>
        <w:t>8415055</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8" w:hRule="atLeast"/>
          <w:jc w:val="center"/>
        </w:trPr>
        <w:tc>
          <w:tcPr>
            <w:tcW w:w="9558" w:type="dxa"/>
            <w:noWrap w:val="0"/>
            <w:vAlign w:val="top"/>
          </w:tcPr>
          <w:p>
            <w:pPr>
              <w:keepNext w:val="0"/>
              <w:keepLines w:val="0"/>
              <w:pageBreakBefore w:val="0"/>
              <w:kinsoku/>
              <w:overflowPunct/>
              <w:topLinePunct w:val="0"/>
              <w:autoSpaceDE/>
              <w:bidi w:val="0"/>
              <w:spacing w:line="560" w:lineRule="exact"/>
              <w:jc w:val="center"/>
              <w:rPr>
                <w:rFonts w:hint="eastAsia" w:ascii="黑体" w:hAnsi="黑体" w:eastAsia="黑体" w:cs="黑体"/>
                <w:bCs/>
                <w:sz w:val="28"/>
                <w:szCs w:val="28"/>
              </w:rPr>
            </w:pPr>
            <w:r>
              <w:rPr>
                <w:rFonts w:hint="eastAsia" w:ascii="黑体" w:hAnsi="黑体" w:eastAsia="黑体" w:cs="黑体"/>
                <w:bCs/>
                <w:sz w:val="28"/>
                <w:szCs w:val="28"/>
              </w:rPr>
              <w:t>五、评价报告综述</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eastAsia="仿宋_GB2312"/>
                <w:sz w:val="32"/>
                <w:szCs w:val="32"/>
              </w:rPr>
            </w:pP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rPr>
            </w:pPr>
            <w:r>
              <w:rPr>
                <w:rFonts w:hint="eastAsia" w:ascii="黑体" w:hAnsi="黑体" w:eastAsia="黑体" w:cs="黑体"/>
                <w:bCs/>
                <w:sz w:val="24"/>
                <w:szCs w:val="24"/>
              </w:rPr>
              <w:t>一、部门（单位）概况</w:t>
            </w: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部门（单位）基本情况</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（一）</w:t>
            </w:r>
            <w:r>
              <w:rPr>
                <w:rFonts w:hint="default" w:ascii="仿宋_GB2312" w:hAnsi="宋体" w:eastAsia="仿宋_GB2312" w:cs="宋体"/>
                <w:bCs/>
                <w:sz w:val="24"/>
                <w:highlight w:val="none"/>
                <w:lang w:val="en-US" w:eastAsia="zh-CN"/>
              </w:rPr>
              <w:t>主要职能</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（1）</w:t>
            </w:r>
            <w:r>
              <w:rPr>
                <w:rFonts w:hint="default" w:ascii="仿宋_GB2312" w:hAnsi="宋体" w:eastAsia="仿宋_GB2312" w:cs="宋体"/>
                <w:bCs/>
                <w:sz w:val="24"/>
                <w:highlight w:val="none"/>
                <w:lang w:val="en-US" w:eastAsia="zh-CN"/>
              </w:rPr>
              <w:t>贯彻落实加强党对统一战线工作集中统一领导的要求,发挥区委在统一战线工作方面的参谋机构、组织协调机构、具体执行机构、督促检查机构作用;了解情况、掌握政策、协调关系、安排人事、增进共识、加强团结、协调统一战线各方面关系;组织和落实中央、省委、市委、区委关于统一战线工作重大决策部署,巩固壮大最广泛的统一战线。</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（2）</w:t>
            </w:r>
            <w:r>
              <w:rPr>
                <w:rFonts w:hint="default" w:ascii="仿宋_GB2312" w:hAnsi="宋体" w:eastAsia="仿宋_GB2312" w:cs="宋体"/>
                <w:bCs/>
                <w:sz w:val="24"/>
                <w:highlight w:val="none"/>
                <w:lang w:val="en-US" w:eastAsia="zh-CN"/>
              </w:rPr>
              <w:t>协调开展全区统一战线理论研究,拟订全区统一战线政策并推动落实;深入调查研究,及时向区委报告统一战线工作情况并提出建议;统筹协调和指导检查各部门各单位统一战线工作。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（3）</w:t>
            </w:r>
            <w:r>
              <w:rPr>
                <w:rFonts w:hint="default" w:ascii="仿宋_GB2312" w:hAnsi="宋体" w:eastAsia="仿宋_GB2312" w:cs="宋体"/>
                <w:bCs/>
                <w:sz w:val="24"/>
                <w:highlight w:val="none"/>
                <w:lang w:val="en-US" w:eastAsia="zh-CN"/>
              </w:rPr>
              <w:t>负责发现、培养、管理、使用全区党外代表人士,负责党外人士的政治安排,会同有关部门做好党外人士担任政府和司法机关及其他单位领导职务的工作;协助民主党派支部(总支)、区工商联、区侨联做好干部管理工作;反映和协调解决党外代表人士工作生活中的实际困难。</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（4）</w:t>
            </w:r>
            <w:r>
              <w:rPr>
                <w:rFonts w:hint="default" w:ascii="仿宋_GB2312" w:hAnsi="宋体" w:eastAsia="仿宋_GB2312" w:cs="宋体"/>
                <w:bCs/>
                <w:sz w:val="24"/>
                <w:highlight w:val="none"/>
                <w:lang w:val="en-US" w:eastAsia="zh-CN"/>
              </w:rPr>
              <w:t>贯彻落实党的宣传工作方针,统筹推进全区统一战线宣传工作;拟定全区统一战线宣传工作规划并组织实施;研判涉及全区统一战线的舆情并协调有关部门应对处置。</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（5）</w:t>
            </w:r>
            <w:r>
              <w:rPr>
                <w:rFonts w:hint="default" w:ascii="仿宋_GB2312" w:hAnsi="宋体" w:eastAsia="仿宋_GB2312" w:cs="宋体"/>
                <w:bCs/>
                <w:sz w:val="24"/>
                <w:highlight w:val="none"/>
                <w:lang w:val="en-US" w:eastAsia="zh-CN"/>
              </w:rPr>
              <w:t>负责联络各民主党派支部(总支),通报情况、反映意见,贯彻落实中国共产党领导的多党合作和政治协商制度以及对民主党派的方针政策;支持、帮助民主党派加强自身建设,做好支持民主党派履行职责、发挥作用的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（6）</w:t>
            </w:r>
            <w:r>
              <w:rPr>
                <w:rFonts w:hint="default" w:ascii="仿宋_GB2312" w:hAnsi="宋体" w:eastAsia="仿宋_GB2312" w:cs="宋体"/>
                <w:bCs/>
                <w:sz w:val="24"/>
                <w:highlight w:val="none"/>
                <w:lang w:val="en-US" w:eastAsia="zh-CN"/>
              </w:rPr>
              <w:t>统一管理全区民族宗教工作,贯彻落实党的民族宗教工作方针和政策,拟定全区民族宗教工作的措施并督促落实;协调处理民族宗教工作中的重大问题,依法管理民族宗教事务,根据政策做好少数民族干部工作;联系培养宗教界代表人士,引导各宗教坚持中国化方向,巩固和发展宗教界的爱国统一战线。</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（7）</w:t>
            </w:r>
            <w:r>
              <w:rPr>
                <w:rFonts w:hint="default" w:ascii="仿宋_GB2312" w:hAnsi="宋体" w:eastAsia="仿宋_GB2312" w:cs="宋体"/>
                <w:bCs/>
                <w:sz w:val="24"/>
                <w:highlight w:val="none"/>
                <w:lang w:val="en-US" w:eastAsia="zh-CN"/>
              </w:rPr>
              <w:t>负责联系、培养无党派代表人士,支持、帮助无党派人士加强自身建设、发挥作用;调查研究党外知识分子和新的社会阶层人士情况并提出政策建议;联系、培养党外知识分子和新的社会阶层代表人士,开展思想政治工作,指导企事业等有关单位和社会组织开展党外知识分子和新的社会阶层人士统一战线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（8）</w:t>
            </w:r>
            <w:r>
              <w:rPr>
                <w:rFonts w:hint="default" w:ascii="仿宋_GB2312" w:hAnsi="宋体" w:eastAsia="仿宋_GB2312" w:cs="宋体"/>
                <w:bCs/>
                <w:sz w:val="24"/>
                <w:highlight w:val="none"/>
                <w:lang w:val="en-US" w:eastAsia="zh-CN"/>
              </w:rPr>
              <w:t>参与制定、推动落实、鼓励支持引导非公有制经济发展的政策,调查研究非公有制经济人士情况并提出政策建议;了解和反映非公有制经济人士的意见、建议,团结、服务、引导、教育非公有制经济人士,促进非公有制经济健康发展和非公有制经济人士健康成长。</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（9）</w:t>
            </w:r>
            <w:r>
              <w:rPr>
                <w:rFonts w:hint="default" w:ascii="仿宋_GB2312" w:hAnsi="宋体" w:eastAsia="仿宋_GB2312" w:cs="宋体"/>
                <w:bCs/>
                <w:sz w:val="24"/>
                <w:highlight w:val="none"/>
                <w:lang w:val="en-US" w:eastAsia="zh-CN"/>
              </w:rPr>
              <w:t>统一领导全区海外统一战线工作,牵头开展港澳统一战线工作,联系香港、澳门和海外有关党派、团体及代表人士,做好统一战线外事管理工作。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（10）</w:t>
            </w:r>
            <w:r>
              <w:rPr>
                <w:rFonts w:hint="default" w:ascii="仿宋_GB2312" w:hAnsi="宋体" w:eastAsia="仿宋_GB2312" w:cs="宋体"/>
                <w:bCs/>
                <w:sz w:val="24"/>
                <w:highlight w:val="none"/>
                <w:lang w:val="en-US" w:eastAsia="zh-CN"/>
              </w:rPr>
              <w:t>统一管理全区侨务工作,贯彻落实党的侨务方针政策,负责拟订侨务工作规划并组织协调、督促落实;调查研究国内外侨情和侨务工作有关情况,管理侨务行政事务,统筹协调有关部门和社会团体涉侨工作;联系海外有关侨团和代表人士,指导推动涉侨宣传、文化交流、华文教育工作等,保护华侨和归侨侨眷在国内的合法权力和利益。</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（11）</w:t>
            </w:r>
            <w:r>
              <w:rPr>
                <w:rFonts w:hint="default" w:ascii="仿宋_GB2312" w:hAnsi="宋体" w:eastAsia="仿宋_GB2312" w:cs="宋体"/>
                <w:bCs/>
                <w:sz w:val="24"/>
                <w:highlight w:val="none"/>
                <w:lang w:val="en-US" w:eastAsia="zh-CN"/>
              </w:rPr>
              <w:t>受区委委托领导区工商联党组,指导区工商联、区侨联工作;做好统一战线有关单位和团体的管理工作。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（12）</w:t>
            </w:r>
            <w:r>
              <w:rPr>
                <w:rFonts w:hint="default" w:ascii="仿宋_GB2312" w:hAnsi="宋体" w:eastAsia="仿宋_GB2312" w:cs="宋体"/>
                <w:bCs/>
                <w:sz w:val="24"/>
                <w:highlight w:val="none"/>
                <w:lang w:val="en-US" w:eastAsia="zh-CN"/>
              </w:rPr>
              <w:t>完成区委交办的其他任务。</w:t>
            </w:r>
          </w:p>
          <w:p>
            <w:pPr>
              <w:spacing w:line="480" w:lineRule="exact"/>
              <w:ind w:firstLine="480" w:firstLineChars="200"/>
              <w:rPr>
                <w:rFonts w:hint="default" w:ascii="仿宋_GB2312" w:hAnsi="宋体" w:eastAsia="仿宋_GB2312" w:cs="宋体"/>
                <w:bCs/>
                <w:sz w:val="24"/>
                <w:highlight w:val="none"/>
              </w:rPr>
            </w:pPr>
            <w:r>
              <w:rPr>
                <w:rFonts w:hint="eastAsia" w:ascii="仿宋_GB2312" w:hAnsi="宋体" w:eastAsia="仿宋_GB2312" w:cs="宋体"/>
                <w:bCs/>
                <w:sz w:val="24"/>
                <w:highlight w:val="none"/>
              </w:rPr>
              <w:t>（二）</w:t>
            </w:r>
            <w:r>
              <w:rPr>
                <w:rFonts w:hint="default" w:ascii="仿宋_GB2312" w:hAnsi="宋体" w:eastAsia="仿宋_GB2312" w:cs="宋体"/>
                <w:bCs/>
                <w:sz w:val="24"/>
                <w:highlight w:val="none"/>
              </w:rPr>
              <w:t>机构设置</w:t>
            </w:r>
          </w:p>
          <w:p>
            <w:pPr>
              <w:spacing w:line="480" w:lineRule="exact"/>
              <w:ind w:firstLine="480" w:firstLineChars="200"/>
              <w:rPr>
                <w:rFonts w:hint="default" w:ascii="仿宋_GB2312" w:hAnsi="宋体" w:eastAsia="仿宋_GB2312" w:cs="宋体"/>
                <w:bCs/>
                <w:sz w:val="24"/>
                <w:highlight w:val="none"/>
                <w:lang w:val="en-US" w:eastAsia="zh-CN"/>
              </w:rPr>
            </w:pPr>
            <w:r>
              <w:rPr>
                <w:rFonts w:hint="default" w:ascii="仿宋_GB2312" w:hAnsi="宋体" w:eastAsia="仿宋_GB2312" w:cs="宋体"/>
                <w:bCs/>
                <w:sz w:val="24"/>
                <w:highlight w:val="none"/>
                <w:lang w:val="en-US" w:eastAsia="zh-CN"/>
              </w:rPr>
              <w:t>我单位内设机构包括：办公室、党外干部联络办、民族宗教办、侨务工作办。</w:t>
            </w:r>
            <w:r>
              <w:rPr>
                <w:rFonts w:hint="eastAsia" w:ascii="仿宋_GB2312" w:hAnsi="宋体" w:eastAsia="仿宋_GB2312" w:cs="宋体"/>
                <w:bCs/>
                <w:sz w:val="24"/>
                <w:highlight w:val="none"/>
                <w:lang w:val="en-US" w:eastAsia="zh-CN"/>
              </w:rPr>
              <w:t>2023年单位人员编制8人，实有人数11人。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rPr>
            </w:pPr>
            <w:r>
              <w:rPr>
                <w:rFonts w:hint="eastAsia" w:ascii="黑体" w:hAnsi="黑体" w:eastAsia="黑体" w:cs="黑体"/>
                <w:bCs/>
                <w:sz w:val="24"/>
                <w:szCs w:val="24"/>
                <w:lang w:val="en-US" w:eastAsia="zh-CN"/>
              </w:rPr>
              <w:t>二、一般公共预算支出情况</w:t>
            </w:r>
          </w:p>
          <w:p>
            <w:pPr>
              <w:spacing w:line="480" w:lineRule="exact"/>
              <w:ind w:firstLine="480" w:firstLineChars="200"/>
              <w:rPr>
                <w:rFonts w:hint="default" w:ascii="仿宋_GB2312" w:hAnsi="宋体" w:eastAsia="仿宋_GB2312" w:cs="宋体"/>
                <w:bCs/>
                <w:sz w:val="24"/>
                <w:highlight w:val="none"/>
                <w:lang w:val="en-US" w:eastAsia="zh-CN"/>
              </w:rPr>
            </w:pPr>
            <w:r>
              <w:rPr>
                <w:rFonts w:hint="default" w:ascii="仿宋_GB2312" w:hAnsi="宋体" w:eastAsia="仿宋_GB2312" w:cs="宋体"/>
                <w:bCs/>
                <w:sz w:val="24"/>
                <w:highlight w:val="none"/>
              </w:rPr>
              <w:t>202</w:t>
            </w:r>
            <w:r>
              <w:rPr>
                <w:rFonts w:hint="eastAsia" w:ascii="仿宋_GB2312" w:hAnsi="宋体" w:eastAsia="仿宋_GB2312" w:cs="宋体"/>
                <w:bCs/>
                <w:sz w:val="24"/>
                <w:highlight w:val="none"/>
                <w:lang w:val="en-US" w:eastAsia="zh-CN"/>
              </w:rPr>
              <w:t>3</w:t>
            </w:r>
            <w:r>
              <w:rPr>
                <w:rFonts w:hint="default" w:ascii="仿宋_GB2312" w:hAnsi="宋体" w:eastAsia="仿宋_GB2312" w:cs="宋体"/>
                <w:bCs/>
                <w:sz w:val="24"/>
                <w:highlight w:val="none"/>
              </w:rPr>
              <w:t>年一般公共预算财政拨款收入支出</w:t>
            </w:r>
            <w:r>
              <w:rPr>
                <w:rFonts w:hint="eastAsia" w:ascii="仿宋_GB2312" w:hAnsi="仿宋_GB2312" w:eastAsia="仿宋_GB2312" w:cs="仿宋_GB2312"/>
                <w:color w:val="000000"/>
                <w:sz w:val="24"/>
                <w:highlight w:val="none"/>
                <w:lang w:val="en-US" w:eastAsia="zh-CN"/>
              </w:rPr>
              <w:t>289.87</w:t>
            </w:r>
            <w:r>
              <w:rPr>
                <w:rFonts w:hint="eastAsia" w:ascii="仿宋_GB2312" w:hAnsi="宋体" w:eastAsia="仿宋_GB2312" w:cs="宋体"/>
                <w:bCs/>
                <w:sz w:val="24"/>
                <w:highlight w:val="none"/>
                <w:lang w:val="en-US" w:eastAsia="zh-CN"/>
              </w:rPr>
              <w:t>万元，具体如下：</w:t>
            </w:r>
          </w:p>
          <w:p>
            <w:pPr>
              <w:spacing w:line="480" w:lineRule="exact"/>
              <w:ind w:firstLine="480" w:firstLineChars="200"/>
              <w:rPr>
                <w:rFonts w:hint="eastAsia" w:ascii="仿宋_GB2312" w:hAnsi="宋体" w:eastAsia="仿宋_GB2312" w:cs="宋体"/>
                <w:bCs/>
                <w:sz w:val="24"/>
                <w:highlight w:val="none"/>
              </w:rPr>
            </w:pPr>
            <w:r>
              <w:rPr>
                <w:rFonts w:hint="eastAsia" w:ascii="仿宋_GB2312" w:hAnsi="宋体" w:eastAsia="仿宋_GB2312" w:cs="宋体"/>
                <w:bCs/>
                <w:sz w:val="24"/>
                <w:highlight w:val="none"/>
              </w:rPr>
              <w:t>（一）基本支出情况</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2023年基本支出</w:t>
            </w:r>
            <w:r>
              <w:rPr>
                <w:rFonts w:hint="default" w:ascii="仿宋_GB2312" w:hAnsi="宋体" w:eastAsia="仿宋_GB2312" w:cs="宋体"/>
                <w:bCs/>
                <w:sz w:val="24"/>
                <w:highlight w:val="none"/>
                <w:lang w:val="en-US" w:eastAsia="zh-CN"/>
              </w:rPr>
              <w:t>200.</w:t>
            </w:r>
            <w:r>
              <w:rPr>
                <w:rFonts w:hint="eastAsia" w:ascii="仿宋_GB2312" w:hAnsi="宋体" w:eastAsia="仿宋_GB2312" w:cs="宋体"/>
                <w:bCs/>
                <w:sz w:val="24"/>
                <w:highlight w:val="none"/>
                <w:lang w:val="en-US" w:eastAsia="zh-CN"/>
              </w:rPr>
              <w:t>93</w:t>
            </w:r>
            <w:r>
              <w:rPr>
                <w:rFonts w:hint="eastAsia" w:ascii="仿宋_GB2312" w:hAnsi="仿宋_GB2312" w:eastAsia="仿宋_GB2312" w:cs="仿宋_GB2312"/>
                <w:color w:val="000000"/>
                <w:sz w:val="24"/>
                <w:highlight w:val="none"/>
                <w:lang w:val="en-US" w:eastAsia="zh-CN"/>
              </w:rPr>
              <w:t>万元，</w:t>
            </w:r>
            <w:r>
              <w:rPr>
                <w:rFonts w:hint="eastAsia" w:ascii="仿宋_GB2312" w:hAnsi="宋体" w:eastAsia="仿宋_GB2312" w:cs="宋体"/>
                <w:bCs/>
                <w:sz w:val="24"/>
                <w:highlight w:val="none"/>
                <w:lang w:val="en-US" w:eastAsia="zh-CN"/>
              </w:rPr>
              <w:t>主要包括基本工资、津贴补贴、社会保险、住房公积金等其中：人员经费164.62万元，公用经费36.31万元。</w:t>
            </w:r>
          </w:p>
          <w:p>
            <w:pPr>
              <w:spacing w:line="480" w:lineRule="exact"/>
              <w:ind w:firstLine="480" w:firstLineChars="200"/>
              <w:rPr>
                <w:rFonts w:hint="eastAsia" w:ascii="仿宋_GB2312" w:hAnsi="宋体" w:eastAsia="仿宋_GB2312" w:cs="宋体"/>
                <w:bCs/>
                <w:sz w:val="24"/>
                <w:highlight w:val="none"/>
              </w:rPr>
            </w:pPr>
            <w:r>
              <w:rPr>
                <w:rFonts w:hint="eastAsia" w:ascii="仿宋_GB2312" w:hAnsi="宋体" w:eastAsia="仿宋_GB2312" w:cs="宋体"/>
                <w:bCs/>
                <w:sz w:val="24"/>
                <w:highlight w:val="none"/>
              </w:rPr>
              <w:t>（二）项目支出情况</w:t>
            </w:r>
          </w:p>
          <w:p>
            <w:pPr>
              <w:spacing w:line="480" w:lineRule="exact"/>
              <w:ind w:firstLine="480" w:firstLineChars="200"/>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1、专项资金安排落实、总投入等情况分析</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2023年度项目支出合计89.55万元，全部为当年财政拨款收入，当年预算资金到位率100%。主要包括民主党派经费、民族宗教工作、岳商大会活动经费、谈心谈话活动经费、办公用房改造及工业园调节经费等6个项目支出。</w:t>
            </w:r>
          </w:p>
          <w:p>
            <w:pPr>
              <w:spacing w:line="480" w:lineRule="exact"/>
              <w:ind w:firstLine="480" w:firstLineChars="200"/>
              <w:rPr>
                <w:rFonts w:hint="eastAsia"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2、</w:t>
            </w:r>
            <w:r>
              <w:rPr>
                <w:rFonts w:hint="eastAsia" w:ascii="仿宋_GB2312" w:hAnsi="仿宋_GB2312" w:eastAsia="仿宋_GB2312" w:cs="仿宋_GB2312"/>
                <w:color w:val="000000"/>
                <w:sz w:val="24"/>
                <w:highlight w:val="none"/>
              </w:rPr>
              <w:t>专项资金实际使用情况分析</w:t>
            </w:r>
          </w:p>
          <w:p>
            <w:pPr>
              <w:spacing w:line="480" w:lineRule="exact"/>
              <w:ind w:firstLine="480" w:firstLineChars="200"/>
              <w:rPr>
                <w:rFonts w:hint="eastAsia" w:ascii="仿宋_GB2312" w:hAnsi="仿宋_GB2312" w:eastAsia="仿宋_GB2312" w:cs="仿宋_GB2312"/>
                <w:color w:val="000000"/>
                <w:sz w:val="24"/>
                <w:highlight w:val="none"/>
              </w:rPr>
            </w:pPr>
            <w:r>
              <w:rPr>
                <w:rFonts w:hint="default" w:ascii="仿宋_GB2312" w:hAnsi="仿宋_GB2312" w:eastAsia="仿宋_GB2312" w:cs="仿宋_GB2312"/>
                <w:color w:val="000000"/>
                <w:sz w:val="24"/>
                <w:highlight w:val="none"/>
              </w:rPr>
              <w:t>202</w:t>
            </w:r>
            <w:r>
              <w:rPr>
                <w:rFonts w:hint="eastAsia" w:ascii="仿宋_GB2312" w:hAnsi="仿宋_GB2312" w:eastAsia="仿宋_GB2312" w:cs="仿宋_GB2312"/>
                <w:color w:val="000000"/>
                <w:sz w:val="24"/>
                <w:highlight w:val="none"/>
                <w:lang w:val="en-US" w:eastAsia="zh-CN"/>
              </w:rPr>
              <w:t>3</w:t>
            </w:r>
            <w:r>
              <w:rPr>
                <w:rFonts w:hint="default" w:ascii="仿宋_GB2312" w:hAnsi="仿宋_GB2312" w:eastAsia="仿宋_GB2312" w:cs="仿宋_GB2312"/>
                <w:color w:val="000000"/>
                <w:sz w:val="24"/>
                <w:highlight w:val="none"/>
              </w:rPr>
              <w:t>年</w:t>
            </w:r>
            <w:r>
              <w:rPr>
                <w:rFonts w:hint="eastAsia" w:ascii="仿宋_GB2312" w:hAnsi="仿宋_GB2312" w:eastAsia="仿宋_GB2312" w:cs="仿宋_GB2312"/>
                <w:color w:val="000000"/>
                <w:sz w:val="24"/>
                <w:highlight w:val="none"/>
              </w:rPr>
              <w:t>项目</w:t>
            </w:r>
            <w:r>
              <w:rPr>
                <w:rFonts w:hint="default" w:ascii="仿宋_GB2312" w:hAnsi="仿宋_GB2312" w:eastAsia="仿宋_GB2312" w:cs="仿宋_GB2312"/>
                <w:color w:val="000000"/>
                <w:sz w:val="24"/>
                <w:highlight w:val="none"/>
              </w:rPr>
              <w:t>支出合计</w:t>
            </w:r>
            <w:r>
              <w:rPr>
                <w:rFonts w:hint="eastAsia" w:ascii="仿宋_GB2312" w:hAnsi="宋体" w:eastAsia="仿宋_GB2312" w:cs="宋体"/>
                <w:bCs/>
                <w:sz w:val="24"/>
                <w:highlight w:val="none"/>
                <w:lang w:val="en-US" w:eastAsia="zh-CN"/>
              </w:rPr>
              <w:t>89.55</w:t>
            </w:r>
            <w:r>
              <w:rPr>
                <w:rFonts w:hint="eastAsia" w:ascii="仿宋_GB2312" w:hAnsi="仿宋_GB2312" w:eastAsia="仿宋_GB2312" w:cs="仿宋_GB2312"/>
                <w:color w:val="000000"/>
                <w:sz w:val="24"/>
                <w:highlight w:val="none"/>
              </w:rPr>
              <w:t>万元</w:t>
            </w:r>
            <w:r>
              <w:rPr>
                <w:rFonts w:hint="eastAsia" w:ascii="仿宋_GB2312" w:hAnsi="仿宋_GB2312" w:eastAsia="仿宋_GB2312" w:cs="仿宋_GB2312"/>
                <w:color w:val="000000"/>
                <w:sz w:val="24"/>
                <w:highlight w:val="none"/>
                <w:lang w:eastAsia="zh-CN"/>
              </w:rPr>
              <w:t>。资本性支出</w:t>
            </w:r>
            <w:r>
              <w:rPr>
                <w:rFonts w:hint="eastAsia" w:ascii="仿宋_GB2312" w:hAnsi="仿宋_GB2312" w:eastAsia="仿宋_GB2312" w:cs="仿宋_GB2312"/>
                <w:color w:val="000000"/>
                <w:sz w:val="24"/>
                <w:highlight w:val="none"/>
                <w:lang w:val="en-US" w:eastAsia="zh-CN"/>
              </w:rPr>
              <w:t>1.24万元，其中办公设备购置1.24万元；</w:t>
            </w:r>
            <w:r>
              <w:rPr>
                <w:rFonts w:hint="default" w:ascii="仿宋_GB2312" w:hAnsi="仿宋_GB2312" w:eastAsia="仿宋_GB2312" w:cs="仿宋_GB2312"/>
                <w:color w:val="000000"/>
                <w:sz w:val="24"/>
                <w:highlight w:val="none"/>
              </w:rPr>
              <w:t>商品服务支出</w:t>
            </w:r>
            <w:r>
              <w:rPr>
                <w:rFonts w:hint="eastAsia" w:ascii="仿宋_GB2312" w:hAnsi="仿宋_GB2312" w:eastAsia="仿宋_GB2312" w:cs="仿宋_GB2312"/>
                <w:color w:val="000000"/>
                <w:sz w:val="24"/>
                <w:highlight w:val="none"/>
                <w:lang w:val="en-US" w:eastAsia="zh-CN"/>
              </w:rPr>
              <w:t>88.31万元，其中办公费10.37万元，印刷费2.08万元，差旅费7.48万元，维修（护）费8.52万元，培训费13.19万元，公务接待费0.10万元，劳务费20.30万元，其他交通费1.32万元，以及其他商品服务支出24.95万元</w:t>
            </w:r>
            <w:r>
              <w:rPr>
                <w:rFonts w:hint="default" w:ascii="仿宋_GB2312" w:hAnsi="仿宋_GB2312" w:eastAsia="仿宋_GB2312" w:cs="仿宋_GB2312"/>
                <w:color w:val="000000"/>
                <w:sz w:val="24"/>
                <w:highlight w:val="none"/>
              </w:rPr>
              <w:t>。</w:t>
            </w:r>
          </w:p>
          <w:p>
            <w:pPr>
              <w:spacing w:line="480" w:lineRule="exact"/>
              <w:ind w:firstLine="480" w:firstLineChars="200"/>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3、专项资金管理情况分析</w:t>
            </w:r>
          </w:p>
          <w:p>
            <w:pPr>
              <w:spacing w:line="480" w:lineRule="exact"/>
              <w:ind w:firstLine="480" w:firstLineChars="200"/>
              <w:rPr>
                <w:rFonts w:hint="default" w:ascii="仿宋_GB2312" w:hAnsi="仿宋_GB2312" w:eastAsia="仿宋_GB2312" w:cs="仿宋_GB2312"/>
                <w:color w:val="000000"/>
                <w:sz w:val="24"/>
                <w:highlight w:val="none"/>
                <w:lang w:val="en-US" w:eastAsia="zh-CN"/>
              </w:rPr>
            </w:pPr>
            <w:r>
              <w:rPr>
                <w:rFonts w:hint="default" w:ascii="仿宋_GB2312" w:hAnsi="仿宋_GB2312" w:eastAsia="仿宋_GB2312" w:cs="仿宋_GB2312"/>
                <w:color w:val="000000"/>
                <w:sz w:val="24"/>
                <w:highlight w:val="none"/>
                <w:lang w:val="en-US" w:eastAsia="zh-CN"/>
              </w:rPr>
              <w:t>我</w:t>
            </w:r>
            <w:r>
              <w:rPr>
                <w:rFonts w:hint="eastAsia" w:ascii="仿宋_GB2312" w:hAnsi="仿宋_GB2312" w:eastAsia="仿宋_GB2312" w:cs="仿宋_GB2312"/>
                <w:color w:val="000000"/>
                <w:sz w:val="24"/>
                <w:highlight w:val="none"/>
                <w:lang w:val="en-US" w:eastAsia="zh-CN"/>
              </w:rPr>
              <w:t>单位</w:t>
            </w:r>
            <w:r>
              <w:rPr>
                <w:rFonts w:hint="default" w:ascii="仿宋_GB2312" w:hAnsi="仿宋_GB2312" w:eastAsia="仿宋_GB2312" w:cs="仿宋_GB2312"/>
                <w:color w:val="000000"/>
                <w:sz w:val="24"/>
                <w:highlight w:val="none"/>
              </w:rPr>
              <w:t>专项资金实现统一管理，支出严格把关，手续完整，程序规范；</w:t>
            </w:r>
            <w:r>
              <w:rPr>
                <w:rFonts w:hint="eastAsia" w:ascii="仿宋_GB2312" w:hAnsi="仿宋_GB2312" w:eastAsia="仿宋_GB2312" w:cs="仿宋_GB2312"/>
                <w:color w:val="000000"/>
                <w:sz w:val="24"/>
                <w:highlight w:val="none"/>
                <w:lang w:eastAsia="zh-CN"/>
              </w:rPr>
              <w:t>各类支出严格审核，严禁无预算开支、乱开支情况</w:t>
            </w:r>
            <w:r>
              <w:rPr>
                <w:rFonts w:hint="default" w:ascii="仿宋_GB2312" w:hAnsi="仿宋_GB2312" w:eastAsia="仿宋_GB2312" w:cs="仿宋_GB2312"/>
                <w:color w:val="000000"/>
                <w:sz w:val="24"/>
                <w:highlight w:val="none"/>
              </w:rPr>
              <w:t>，</w:t>
            </w:r>
            <w:r>
              <w:rPr>
                <w:rFonts w:hint="eastAsia" w:ascii="仿宋_GB2312" w:hAnsi="仿宋_GB2312" w:eastAsia="仿宋_GB2312" w:cs="仿宋_GB2312"/>
                <w:color w:val="000000"/>
                <w:sz w:val="24"/>
                <w:highlight w:val="none"/>
                <w:lang w:eastAsia="zh-CN"/>
              </w:rPr>
              <w:t>对重大支出须有三重一大决策，全年</w:t>
            </w:r>
            <w:r>
              <w:rPr>
                <w:rFonts w:hint="default" w:ascii="仿宋_GB2312" w:hAnsi="仿宋_GB2312" w:eastAsia="仿宋_GB2312" w:cs="仿宋_GB2312"/>
                <w:color w:val="000000"/>
                <w:sz w:val="24"/>
                <w:highlight w:val="none"/>
              </w:rPr>
              <w:t>无挤占挪用或套取资金等现象。</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sz w:val="24"/>
                <w:szCs w:val="24"/>
                <w:lang w:val="en-US" w:eastAsia="zh-CN"/>
              </w:rPr>
              <w:t>三、政府性基金预算支出情况</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无政府性基金预算支出。</w:t>
            </w:r>
          </w:p>
          <w:p>
            <w:pPr>
              <w:spacing w:line="480" w:lineRule="exact"/>
              <w:ind w:firstLine="480" w:firstLineChars="200"/>
              <w:rPr>
                <w:rFonts w:hint="eastAsia" w:ascii="黑体" w:hAnsi="黑体" w:eastAsia="黑体" w:cs="黑体"/>
                <w:bCs/>
                <w:sz w:val="24"/>
                <w:highlight w:val="none"/>
              </w:rPr>
            </w:pPr>
            <w:r>
              <w:rPr>
                <w:rFonts w:hint="eastAsia" w:ascii="黑体" w:hAnsi="黑体" w:eastAsia="黑体" w:cs="黑体"/>
                <w:bCs/>
                <w:sz w:val="24"/>
                <w:highlight w:val="none"/>
              </w:rPr>
              <w:t>四、国有资本经营预算支出情况</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无国有资本经营预算收支。</w:t>
            </w:r>
          </w:p>
          <w:p>
            <w:pPr>
              <w:spacing w:line="480" w:lineRule="exact"/>
              <w:ind w:firstLine="480" w:firstLineChars="200"/>
              <w:rPr>
                <w:rFonts w:hint="eastAsia" w:ascii="黑体" w:hAnsi="黑体" w:eastAsia="黑体" w:cs="黑体"/>
                <w:bCs/>
                <w:sz w:val="24"/>
                <w:highlight w:val="none"/>
              </w:rPr>
            </w:pPr>
            <w:r>
              <w:rPr>
                <w:rFonts w:hint="eastAsia" w:ascii="黑体" w:hAnsi="黑体" w:eastAsia="黑体" w:cs="黑体"/>
                <w:bCs/>
                <w:sz w:val="24"/>
                <w:highlight w:val="none"/>
              </w:rPr>
              <w:t>五、社会保险基金预算支出情况</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无社会保险基金预算收支。</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sz w:val="24"/>
                <w:szCs w:val="24"/>
                <w:lang w:val="en-US" w:eastAsia="zh-CN"/>
              </w:rPr>
              <w:t>六、部门整体支出绩效情况</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2023年，云溪区委统战部在区委的正确领导和市委统战部的精心指导下，紧紧围绕习近平总书记关于加强和改进统一战线工作的重要思想，坚决</w:t>
            </w:r>
            <w:r>
              <w:rPr>
                <w:rFonts w:hint="eastAsia" w:ascii="仿宋_GB2312" w:hAnsi="宋体" w:eastAsia="仿宋_GB2312" w:cs="宋体"/>
                <w:bCs/>
                <w:sz w:val="24"/>
                <w:highlight w:val="none"/>
                <w:lang w:val="zh-CN" w:eastAsia="zh-CN"/>
              </w:rPr>
              <w:t>落实区委有关决策部署，</w:t>
            </w:r>
            <w:r>
              <w:rPr>
                <w:rFonts w:hint="eastAsia" w:ascii="仿宋_GB2312" w:hAnsi="宋体" w:eastAsia="仿宋_GB2312" w:cs="宋体"/>
                <w:bCs/>
                <w:sz w:val="24"/>
                <w:highlight w:val="none"/>
                <w:lang w:val="en-US" w:eastAsia="zh-CN"/>
              </w:rPr>
              <w:t>充分调动和发挥统一战线优势，不断推进统战各领域工作：</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预算配置。2023年编制人数为8人，实际在职人数11人，在职人员控制率为73%；2023年“三公支出”年初预算2万元，实际支出数为0.10万元，较上年减少0.18万元。</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预算执行。2023年年初预算224.89万元，调整预算数为289.87万元，调整预算率为28.89%；年末结转结余0万元，预算执行率为100%。</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预算管理。我单位按照财政预算管理要求，制定了响应的预算资金管理办法等内部控制制度；资金拨付按照规定的审批程序和手续，且在预算批复内执行；预决算信息按照财政要求在规定时间内完整公开；对纳入公务卡强制执行目录中的支出，实行了公务卡支付。</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资产管理。依据《行政事业单位国有资产管理办法》规定，结合我单位实际制定了相应的管理办法；资产配置、管理、处置严格按照政府采购及资产管理办法程序办理，确保国有资产完整、安全。</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职责履行和效益。一是组织统战对象轮训学习。二是围绕“服务园区、服务企业”，引导非公经济人士建功立业，组织开展“民企大走访”活动，广泛收集、及时反映民营企业合理意见。三是多形式开展学习宣讲活动。引导全区广大统战成员准确领会把握党统战工作的政策理论和精神实质，为党外人士进一步提高思想认识、凝聚政治共识打下坚实基础。四是抓好民主党派和工商联两支队伍的班子建设。五是加强对宗教教职人员的教育培养</w:t>
            </w:r>
            <w:r>
              <w:rPr>
                <w:rFonts w:hint="eastAsia" w:ascii="仿宋_GB2312" w:hAnsi="宋体" w:eastAsia="仿宋_GB2312" w:cs="宋体"/>
                <w:bCs/>
                <w:sz w:val="24"/>
                <w:highlight w:val="none"/>
                <w:lang w:val="zh-CN" w:eastAsia="zh-CN"/>
              </w:rPr>
              <w:t>。</w:t>
            </w:r>
            <w:r>
              <w:rPr>
                <w:rFonts w:hint="eastAsia" w:ascii="仿宋_GB2312" w:hAnsi="宋体" w:eastAsia="仿宋_GB2312" w:cs="宋体"/>
                <w:bCs/>
                <w:sz w:val="24"/>
                <w:highlight w:val="none"/>
                <w:lang w:val="en-US" w:eastAsia="zh-CN"/>
              </w:rPr>
              <w:t>每年举办1次全区宗教教职人员培训，并选派宗教界代表人士参加省市举办的宗教人士培训班，教育引导宗教界人士和信教群众自觉在法律法规范围内开展宗教活动。</w:t>
            </w:r>
          </w:p>
          <w:p>
            <w:pPr>
              <w:pStyle w:val="2"/>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可持续发展能力和服务对象满意度。</w:t>
            </w:r>
          </w:p>
          <w:p>
            <w:pPr>
              <w:pStyle w:val="9"/>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黑体" w:hAnsi="黑体" w:eastAsia="黑体" w:cs="黑体"/>
                <w:sz w:val="24"/>
                <w:szCs w:val="24"/>
              </w:rPr>
            </w:pPr>
            <w:r>
              <w:rPr>
                <w:rFonts w:hint="eastAsia" w:ascii="黑体" w:hAnsi="黑体" w:eastAsia="黑体" w:cs="黑体"/>
                <w:sz w:val="24"/>
                <w:szCs w:val="24"/>
              </w:rPr>
              <w:t>七、存在的问题及原因分析</w:t>
            </w:r>
          </w:p>
          <w:p>
            <w:pPr>
              <w:spacing w:line="480" w:lineRule="exact"/>
              <w:ind w:firstLine="480" w:firstLineChars="200"/>
              <w:rPr>
                <w:rFonts w:hint="default"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预算调整率较大。2023年年初预算224.89万元，调整预算数为289.87万元，调整预算率为28.89%，主要是由于年初预算编制不够准确，年中追加了部门预算。</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firstLine="480" w:firstLineChars="200"/>
              <w:jc w:val="left"/>
              <w:textAlignment w:val="auto"/>
              <w:rPr>
                <w:rFonts w:hint="eastAsia" w:ascii="黑体" w:hAnsi="黑体" w:eastAsia="黑体" w:cs="黑体"/>
                <w:sz w:val="24"/>
                <w:szCs w:val="24"/>
              </w:rPr>
            </w:pPr>
            <w:r>
              <w:rPr>
                <w:rFonts w:hint="eastAsia" w:ascii="黑体" w:hAnsi="黑体" w:eastAsia="黑体" w:cs="黑体"/>
                <w:sz w:val="24"/>
                <w:szCs w:val="24"/>
              </w:rPr>
              <w:t>下一步改进措施</w:t>
            </w:r>
          </w:p>
          <w:p>
            <w:pPr>
              <w:spacing w:line="480" w:lineRule="exact"/>
              <w:ind w:firstLine="480" w:firstLineChars="200"/>
              <w:rPr>
                <w:rFonts w:hint="eastAsia" w:ascii="仿宋_GB2312" w:hAnsi="宋体" w:eastAsia="仿宋_GB2312" w:cs="宋体"/>
                <w:bCs/>
                <w:sz w:val="24"/>
                <w:highlight w:val="none"/>
                <w:lang w:val="en-US" w:eastAsia="zh-CN"/>
              </w:rPr>
            </w:pPr>
            <w:r>
              <w:rPr>
                <w:rFonts w:hint="eastAsia" w:ascii="仿宋_GB2312" w:hAnsi="宋体" w:eastAsia="仿宋_GB2312" w:cs="宋体"/>
                <w:bCs/>
                <w:sz w:val="24"/>
                <w:highlight w:val="none"/>
                <w:lang w:val="en-US" w:eastAsia="zh-CN"/>
              </w:rPr>
              <w:t>细化预算编制工作，认真做好预算的编制。进一步加强预算管理意识，严格按照预算编制的相关制度和要求，公用经费根据单位的年度工作重点和项目专项工作规划，本着“勤俭节约、保障运转”的原则进行预算的编制，进一步提高预算编制的科学性、合理性、严谨性和可控性。</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黑体" w:hAnsi="黑体" w:eastAsia="黑体" w:cs="黑体"/>
                <w:sz w:val="24"/>
                <w:szCs w:val="24"/>
              </w:rPr>
            </w:pPr>
            <w:r>
              <w:rPr>
                <w:rFonts w:hint="eastAsia" w:ascii="黑体" w:hAnsi="黑体" w:eastAsia="黑体" w:cs="黑体"/>
                <w:sz w:val="24"/>
                <w:szCs w:val="24"/>
              </w:rPr>
              <w:t>其他需要说明的情况</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leftChars="200"/>
              <w:jc w:val="left"/>
              <w:textAlignment w:val="auto"/>
              <w:rPr>
                <w:rFonts w:hint="default" w:ascii="黑体" w:hAnsi="黑体" w:eastAsia="黑体" w:cs="黑体"/>
                <w:bCs/>
                <w:sz w:val="28"/>
                <w:szCs w:val="28"/>
                <w:lang w:val="en-US" w:eastAsia="zh-CN"/>
              </w:rPr>
            </w:pPr>
            <w:r>
              <w:rPr>
                <w:rFonts w:hint="eastAsia" w:ascii="仿宋_GB2312" w:hAnsi="宋体" w:eastAsia="仿宋_GB2312" w:cs="宋体"/>
                <w:bCs/>
                <w:sz w:val="24"/>
                <w:highlight w:val="none"/>
                <w:lang w:val="en-US" w:eastAsia="zh-CN"/>
              </w:rPr>
              <w:t>无其他需要说明的情况。</w:t>
            </w:r>
          </w:p>
        </w:tc>
      </w:tr>
    </w:tbl>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eastAsia="楷体_GB2312"/>
          <w:bCs/>
          <w:sz w:val="28"/>
          <w:szCs w:val="28"/>
        </w:rPr>
        <w:br w:type="page"/>
      </w: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3-2</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eastAsia="黑体" w:cs="黑体"/>
          <w:bCs/>
          <w:sz w:val="32"/>
          <w:szCs w:val="32"/>
        </w:rPr>
      </w:pPr>
    </w:p>
    <w:p>
      <w:pPr>
        <w:keepNext w:val="0"/>
        <w:keepLines w:val="0"/>
        <w:pageBreakBefore w:val="0"/>
        <w:kinsoku/>
        <w:overflowPunct/>
        <w:topLinePunct w:val="0"/>
        <w:autoSpaceDE/>
        <w:bidi w:val="0"/>
        <w:spacing w:line="560" w:lineRule="exact"/>
        <w:jc w:val="center"/>
        <w:rPr>
          <w:rFonts w:hint="eastAsia" w:eastAsia="方正小标宋简体"/>
          <w:bCs/>
          <w:sz w:val="44"/>
          <w:szCs w:val="44"/>
        </w:rPr>
      </w:pPr>
      <w:r>
        <w:rPr>
          <w:rFonts w:hint="eastAsia" w:eastAsia="方正小标宋简体"/>
          <w:bCs/>
          <w:sz w:val="44"/>
          <w:szCs w:val="44"/>
        </w:rPr>
        <w:t>岳阳市云溪区</w:t>
      </w:r>
      <w:r>
        <w:rPr>
          <w:rFonts w:hint="eastAsia" w:eastAsia="方正小标宋简体"/>
          <w:bCs/>
          <w:sz w:val="44"/>
          <w:szCs w:val="44"/>
          <w:lang w:eastAsia="zh-CN"/>
        </w:rPr>
        <w:t>预算</w:t>
      </w:r>
      <w:r>
        <w:rPr>
          <w:rFonts w:hint="eastAsia" w:eastAsia="方正小标宋简体"/>
          <w:bCs/>
          <w:sz w:val="44"/>
          <w:szCs w:val="44"/>
        </w:rPr>
        <w:t>支出绩效评价自评报告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widowControl w:val="0"/>
        <w:kinsoku/>
        <w:wordWrap/>
        <w:overflowPunct/>
        <w:topLinePunct w:val="0"/>
        <w:autoSpaceDE/>
        <w:autoSpaceDN/>
        <w:bidi w:val="0"/>
        <w:adjustRightInd/>
        <w:snapToGrid/>
        <w:spacing w:line="560" w:lineRule="exact"/>
        <w:ind w:firstLine="470" w:firstLineChars="147"/>
        <w:textAlignment w:val="auto"/>
        <w:rPr>
          <w:rFonts w:hint="eastAsia" w:eastAsia="仿宋_GB2312"/>
          <w:sz w:val="32"/>
          <w:szCs w:val="32"/>
        </w:rPr>
      </w:pPr>
      <w:r>
        <w:rPr>
          <w:rFonts w:hint="eastAsia" w:eastAsia="仿宋_GB2312"/>
          <w:sz w:val="32"/>
          <w:szCs w:val="32"/>
        </w:rPr>
        <w:t>评价类型：项目实施过程评价□   项目完成结果评价□</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150"/>
        <w:textAlignment w:val="auto"/>
        <w:rPr>
          <w:rFonts w:hint="eastAsia" w:eastAsia="仿宋_GB2312"/>
          <w:sz w:val="32"/>
          <w:u w:val="single"/>
        </w:rPr>
      </w:pPr>
      <w:r>
        <w:rPr>
          <w:rFonts w:hint="eastAsia" w:eastAsia="仿宋_GB2312"/>
          <w:sz w:val="32"/>
        </w:rPr>
        <w:t>项目名称：</w:t>
      </w:r>
      <w:r>
        <w:rPr>
          <w:rFonts w:hint="eastAsia" w:eastAsia="仿宋_GB2312"/>
          <w:sz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150"/>
        <w:textAlignment w:val="auto"/>
        <w:rPr>
          <w:rFonts w:hint="eastAsia" w:eastAsia="仿宋_GB2312"/>
          <w:sz w:val="32"/>
        </w:rPr>
      </w:pPr>
      <w:r>
        <w:rPr>
          <w:rFonts w:hint="eastAsia" w:eastAsia="仿宋_GB2312"/>
          <w:sz w:val="32"/>
        </w:rPr>
        <w:t>项目单位：</w:t>
      </w:r>
      <w:r>
        <w:rPr>
          <w:rFonts w:hint="eastAsia" w:eastAsia="仿宋_GB2312"/>
          <w:sz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150"/>
        <w:textAlignment w:val="auto"/>
        <w:rPr>
          <w:rFonts w:hint="eastAsia" w:eastAsia="仿宋_GB2312"/>
          <w:sz w:val="32"/>
          <w:u w:val="single"/>
        </w:rPr>
      </w:pPr>
      <w:r>
        <w:rPr>
          <w:rFonts w:hint="eastAsia" w:eastAsia="仿宋_GB2312"/>
          <w:sz w:val="32"/>
        </w:rPr>
        <w:t>主管部门：</w:t>
      </w:r>
      <w:r>
        <w:rPr>
          <w:rFonts w:hint="eastAsia" w:eastAsia="仿宋_GB2312"/>
          <w:sz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150"/>
        <w:textAlignment w:val="auto"/>
        <w:rPr>
          <w:rFonts w:hint="eastAsia" w:eastAsia="仿宋_GB2312"/>
          <w:sz w:val="32"/>
        </w:rPr>
      </w:pPr>
      <w:r>
        <w:rPr>
          <w:rFonts w:hint="eastAsia" w:eastAsia="仿宋_GB2312"/>
          <w:sz w:val="32"/>
        </w:rPr>
        <w:t>评价方式：</w:t>
      </w:r>
      <w:r>
        <w:rPr>
          <w:rFonts w:hint="eastAsia" w:eastAsia="仿宋_GB2312"/>
          <w:sz w:val="28"/>
          <w:szCs w:val="28"/>
        </w:rPr>
        <w:t>部门（单位）绩效自评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150"/>
        <w:textAlignment w:val="auto"/>
        <w:rPr>
          <w:rFonts w:hint="eastAsia" w:eastAsia="仿宋_GB2312"/>
          <w:sz w:val="28"/>
          <w:szCs w:val="28"/>
        </w:rPr>
      </w:pPr>
      <w:r>
        <w:rPr>
          <w:rFonts w:hint="eastAsia" w:eastAsia="仿宋_GB2312"/>
          <w:sz w:val="32"/>
          <w:szCs w:val="32"/>
        </w:rPr>
        <w:t>评价机构：</w:t>
      </w:r>
      <w:r>
        <w:rPr>
          <w:rFonts w:hint="eastAsia" w:eastAsia="仿宋_GB2312"/>
          <w:sz w:val="28"/>
          <w:szCs w:val="28"/>
        </w:rPr>
        <w:t xml:space="preserve">部门（单位）评价组   </w:t>
      </w: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ind w:firstLine="420" w:firstLineChars="150"/>
        <w:rPr>
          <w:rFonts w:hint="eastAsia" w:eastAsia="仿宋_GB2312"/>
          <w:sz w:val="28"/>
          <w:szCs w:val="28"/>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rPr>
        <w:t>报告日期：   年   月   日</w:t>
      </w: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rPr>
        <w:t>岳阳市云溪区财政局（制）</w:t>
      </w:r>
    </w:p>
    <w:tbl>
      <w:tblPr>
        <w:tblStyle w:val="5"/>
        <w:tblW w:w="10240" w:type="dxa"/>
        <w:jc w:val="center"/>
        <w:tblLayout w:type="autofit"/>
        <w:tblCellMar>
          <w:top w:w="0" w:type="dxa"/>
          <w:left w:w="108" w:type="dxa"/>
          <w:bottom w:w="0" w:type="dxa"/>
          <w:right w:w="108" w:type="dxa"/>
        </w:tblCellMar>
      </w:tblPr>
      <w:tblGrid>
        <w:gridCol w:w="10240"/>
      </w:tblGrid>
      <w:tr>
        <w:tblPrEx>
          <w:tblCellMar>
            <w:top w:w="0" w:type="dxa"/>
            <w:left w:w="108" w:type="dxa"/>
            <w:bottom w:w="0" w:type="dxa"/>
            <w:right w:w="108" w:type="dxa"/>
          </w:tblCellMar>
        </w:tblPrEx>
        <w:trPr>
          <w:trHeight w:val="641" w:hRule="atLeast"/>
          <w:jc w:val="center"/>
        </w:trPr>
        <w:tc>
          <w:tcPr>
            <w:tcW w:w="10240" w:type="dxa"/>
            <w:tcBorders>
              <w:top w:val="nil"/>
              <w:left w:val="nil"/>
              <w:bottom w:val="nil"/>
              <w:right w:val="nil"/>
            </w:tcBorders>
            <w:noWrap/>
            <w:vAlign w:val="center"/>
          </w:tcPr>
          <w:p>
            <w:pPr>
              <w:keepNext w:val="0"/>
              <w:keepLines w:val="0"/>
              <w:pageBreakBefore w:val="0"/>
              <w:widowControl/>
              <w:kinsoku/>
              <w:wordWrap/>
              <w:overflowPunct/>
              <w:topLinePunct w:val="0"/>
              <w:autoSpaceDE/>
              <w:autoSpaceDN/>
              <w:bidi w:val="0"/>
              <w:adjustRightInd/>
              <w:spacing w:line="300" w:lineRule="exact"/>
              <w:jc w:val="center"/>
              <w:textAlignment w:val="auto"/>
              <w:rPr>
                <w:rFonts w:eastAsia="方正小标宋_GBK"/>
                <w:color w:val="000000"/>
                <w:kern w:val="0"/>
                <w:sz w:val="36"/>
                <w:szCs w:val="36"/>
              </w:rPr>
            </w:pPr>
          </w:p>
          <w:p>
            <w:pPr>
              <w:pStyle w:val="8"/>
            </w:pPr>
          </w:p>
          <w:p>
            <w:pPr>
              <w:pStyle w:val="8"/>
              <w:keepNext w:val="0"/>
              <w:keepLines w:val="0"/>
              <w:pageBreakBefore w:val="0"/>
              <w:kinsoku/>
              <w:wordWrap/>
              <w:overflowPunct/>
              <w:topLinePunct w:val="0"/>
              <w:autoSpaceDE/>
              <w:autoSpaceDN/>
              <w:bidi w:val="0"/>
              <w:adjustRightInd/>
              <w:spacing w:line="300" w:lineRule="exact"/>
              <w:textAlignment w:val="auto"/>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7"/>
        <w:sz w:val="24"/>
        <w:szCs w:val="24"/>
      </w:rPr>
    </w:pPr>
    <w:r>
      <w:rPr>
        <w:rStyle w:val="7"/>
        <w:rFonts w:hint="eastAsia"/>
        <w:sz w:val="24"/>
        <w:szCs w:val="24"/>
      </w:rPr>
      <w:t xml:space="preserve">— </w:t>
    </w:r>
    <w:r>
      <w:rPr>
        <w:sz w:val="24"/>
        <w:szCs w:val="24"/>
      </w:rPr>
      <w:fldChar w:fldCharType="begin"/>
    </w:r>
    <w:r>
      <w:rPr>
        <w:rStyle w:val="7"/>
        <w:sz w:val="24"/>
        <w:szCs w:val="24"/>
      </w:rPr>
      <w:instrText xml:space="preserve">PAGE  </w:instrText>
    </w:r>
    <w:r>
      <w:rPr>
        <w:sz w:val="24"/>
        <w:szCs w:val="24"/>
      </w:rPr>
      <w:fldChar w:fldCharType="separate"/>
    </w:r>
    <w:r>
      <w:rPr>
        <w:rStyle w:val="7"/>
        <w:sz w:val="24"/>
        <w:szCs w:val="24"/>
      </w:rPr>
      <w:t>2</w:t>
    </w:r>
    <w:r>
      <w:rPr>
        <w:sz w:val="24"/>
        <w:szCs w:val="24"/>
      </w:rPr>
      <w:fldChar w:fldCharType="end"/>
    </w:r>
    <w:r>
      <w:rPr>
        <w:rStyle w:val="7"/>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BFC926"/>
    <w:multiLevelType w:val="singleLevel"/>
    <w:tmpl w:val="8DBFC926"/>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lMTljMDA3M2YxZjUyYmZkNzhhN2VmOTE3N2FmYTYifQ=="/>
  </w:docVars>
  <w:rsids>
    <w:rsidRoot w:val="00000000"/>
    <w:rsid w:val="01EF348B"/>
    <w:rsid w:val="02581525"/>
    <w:rsid w:val="02671768"/>
    <w:rsid w:val="02CE3596"/>
    <w:rsid w:val="033A0C2B"/>
    <w:rsid w:val="03AA7B5F"/>
    <w:rsid w:val="042E253E"/>
    <w:rsid w:val="07726BE5"/>
    <w:rsid w:val="090E0B90"/>
    <w:rsid w:val="0981527A"/>
    <w:rsid w:val="0F73799F"/>
    <w:rsid w:val="13482EF0"/>
    <w:rsid w:val="15B91E83"/>
    <w:rsid w:val="16677B31"/>
    <w:rsid w:val="16DE4297"/>
    <w:rsid w:val="18A230A3"/>
    <w:rsid w:val="19684F07"/>
    <w:rsid w:val="19D61256"/>
    <w:rsid w:val="1A1B310D"/>
    <w:rsid w:val="1B506DE6"/>
    <w:rsid w:val="1B5E1503"/>
    <w:rsid w:val="1D986CE8"/>
    <w:rsid w:val="207A53C7"/>
    <w:rsid w:val="213B5E42"/>
    <w:rsid w:val="23C87E61"/>
    <w:rsid w:val="241F1A4B"/>
    <w:rsid w:val="256050A9"/>
    <w:rsid w:val="29E14DB7"/>
    <w:rsid w:val="2B807273"/>
    <w:rsid w:val="33492641"/>
    <w:rsid w:val="3724026D"/>
    <w:rsid w:val="37734130"/>
    <w:rsid w:val="386F48F8"/>
    <w:rsid w:val="39495149"/>
    <w:rsid w:val="3A282FB0"/>
    <w:rsid w:val="3B1D585A"/>
    <w:rsid w:val="3C526A0A"/>
    <w:rsid w:val="3CCB2319"/>
    <w:rsid w:val="3D22018A"/>
    <w:rsid w:val="3F956B90"/>
    <w:rsid w:val="42CB4E20"/>
    <w:rsid w:val="464C6278"/>
    <w:rsid w:val="46D7531D"/>
    <w:rsid w:val="47413903"/>
    <w:rsid w:val="47CD5197"/>
    <w:rsid w:val="499E328F"/>
    <w:rsid w:val="4BC863A1"/>
    <w:rsid w:val="4D31441A"/>
    <w:rsid w:val="4F4B17C3"/>
    <w:rsid w:val="51E951E6"/>
    <w:rsid w:val="56FB3ACE"/>
    <w:rsid w:val="58A14202"/>
    <w:rsid w:val="59E44CEE"/>
    <w:rsid w:val="5C875E04"/>
    <w:rsid w:val="5CFE3DE5"/>
    <w:rsid w:val="5FFB9371"/>
    <w:rsid w:val="65003C6A"/>
    <w:rsid w:val="691B0000"/>
    <w:rsid w:val="69A55B1C"/>
    <w:rsid w:val="6FB62831"/>
    <w:rsid w:val="6FE05AA6"/>
    <w:rsid w:val="71F72C8D"/>
    <w:rsid w:val="74D3353D"/>
    <w:rsid w:val="78544995"/>
    <w:rsid w:val="7A57076C"/>
    <w:rsid w:val="7CC61BD9"/>
    <w:rsid w:val="7E154BC6"/>
    <w:rsid w:val="7E5F47C5"/>
    <w:rsid w:val="7F9FC4D1"/>
    <w:rsid w:val="7FF370C0"/>
    <w:rsid w:val="9FEE6AAC"/>
    <w:rsid w:val="9FFF8B8C"/>
    <w:rsid w:val="BBC618C0"/>
    <w:rsid w:val="CFF9313F"/>
    <w:rsid w:val="F532AB3F"/>
    <w:rsid w:val="FBFF57A4"/>
    <w:rsid w:val="FFEF4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4">
    <w:name w:val="footer"/>
    <w:basedOn w:val="1"/>
    <w:qFormat/>
    <w:uiPriority w:val="0"/>
    <w:pPr>
      <w:tabs>
        <w:tab w:val="center" w:pos="4153"/>
        <w:tab w:val="right" w:pos="8306"/>
      </w:tabs>
      <w:snapToGrid w:val="0"/>
      <w:jc w:val="left"/>
    </w:pPr>
    <w:rPr>
      <w:kern w:val="0"/>
      <w:sz w:val="18"/>
      <w:szCs w:val="18"/>
    </w:rPr>
  </w:style>
  <w:style w:type="character" w:styleId="7">
    <w:name w:val="page number"/>
    <w:qFormat/>
    <w:uiPriority w:val="0"/>
  </w:style>
  <w:style w:type="paragraph" w:customStyle="1" w:styleId="8">
    <w:name w:val="BodyText1I"/>
    <w:basedOn w:val="1"/>
    <w:qFormat/>
    <w:uiPriority w:val="99"/>
    <w:pPr>
      <w:snapToGrid w:val="0"/>
      <w:spacing w:line="360" w:lineRule="auto"/>
      <w:ind w:firstLine="420" w:firstLineChars="100"/>
    </w:pPr>
    <w:rPr>
      <w:sz w:val="28"/>
      <w:szCs w:val="20"/>
    </w:rPr>
  </w:style>
  <w:style w:type="paragraph" w:styleId="9">
    <w:name w:val="List Paragraph"/>
    <w:basedOn w:val="1"/>
    <w:qFormat/>
    <w:uiPriority w:val="99"/>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2024-05-29T17:57:00Z</dcterms:created>
  <dc:creator>Administrator</dc:creator>
  <cp:lastModifiedBy>熊徽</cp:lastModifiedBy>
  <cp:lastPrinted>2024-06-04T02:04:00Z</cp:lastPrinted>
  <dcterms:modified xsi:type="dcterms:W3CDTF">2024-06-04T02:54:40Z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3F9CB885BB7941D2A590F2F8244F053E_12</vt:lpwstr>
  </property>
</Properties>
</file>