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bidi w:val="0"/>
        <w:spacing w:line="560" w:lineRule="exact"/>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附件2：</w:t>
      </w:r>
    </w:p>
    <w:p>
      <w:pPr>
        <w:spacing w:after="120" w:afterLines="50" w:line="600" w:lineRule="exact"/>
        <w:jc w:val="center"/>
        <w:rPr>
          <w:rFonts w:hint="eastAsia" w:ascii="方正小标宋简体" w:hAnsi="方正小标宋简体" w:eastAsia="方正小标宋简体" w:cs="方正小标宋简体"/>
          <w:sz w:val="24"/>
          <w:highlight w:val="none"/>
        </w:rPr>
      </w:pPr>
      <w:r>
        <w:rPr>
          <w:rFonts w:hint="eastAsia" w:ascii="方正小标宋简体" w:hAnsi="方正小标宋简体" w:eastAsia="方正小标宋简体" w:cs="方正小标宋简体"/>
          <w:sz w:val="36"/>
          <w:szCs w:val="36"/>
          <w:highlight w:val="none"/>
        </w:rPr>
        <w:t>202</w:t>
      </w:r>
      <w:r>
        <w:rPr>
          <w:rFonts w:hint="eastAsia" w:ascii="方正小标宋简体" w:hAnsi="方正小标宋简体" w:eastAsia="方正小标宋简体" w:cs="方正小标宋简体"/>
          <w:sz w:val="36"/>
          <w:szCs w:val="36"/>
          <w:highlight w:val="none"/>
          <w:lang w:val="en-US" w:eastAsia="zh-CN"/>
        </w:rPr>
        <w:t>3</w:t>
      </w:r>
      <w:r>
        <w:rPr>
          <w:rFonts w:hint="eastAsia" w:ascii="方正小标宋简体" w:hAnsi="方正小标宋简体" w:eastAsia="方正小标宋简体" w:cs="方正小标宋简体"/>
          <w:sz w:val="36"/>
          <w:szCs w:val="36"/>
          <w:highlight w:val="none"/>
        </w:rPr>
        <w:t>年度部门整体支出绩效评价基础数据表</w:t>
      </w:r>
    </w:p>
    <w:tbl>
      <w:tblPr>
        <w:tblStyle w:val="3"/>
        <w:tblW w:w="9673" w:type="dxa"/>
        <w:jc w:val="center"/>
        <w:tblLayout w:type="fixed"/>
        <w:tblCellMar>
          <w:top w:w="0" w:type="dxa"/>
          <w:left w:w="108" w:type="dxa"/>
          <w:bottom w:w="0" w:type="dxa"/>
          <w:right w:w="108" w:type="dxa"/>
        </w:tblCellMar>
      </w:tblPr>
      <w:tblGrid>
        <w:gridCol w:w="3354"/>
        <w:gridCol w:w="1189"/>
        <w:gridCol w:w="849"/>
        <w:gridCol w:w="1129"/>
        <w:gridCol w:w="1111"/>
        <w:gridCol w:w="1081"/>
        <w:gridCol w:w="960"/>
      </w:tblGrid>
      <w:tr>
        <w:tblPrEx>
          <w:tblCellMar>
            <w:top w:w="0" w:type="dxa"/>
            <w:left w:w="108" w:type="dxa"/>
            <w:bottom w:w="0" w:type="dxa"/>
            <w:right w:w="108" w:type="dxa"/>
          </w:tblCellMar>
        </w:tblPrEx>
        <w:trPr>
          <w:trHeight w:val="0" w:hRule="atLeast"/>
          <w:jc w:val="center"/>
        </w:trPr>
        <w:tc>
          <w:tcPr>
            <w:tcW w:w="3354"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财政供养人员情况（人）</w:t>
            </w:r>
          </w:p>
        </w:tc>
        <w:tc>
          <w:tcPr>
            <w:tcW w:w="2038"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编制数</w:t>
            </w:r>
          </w:p>
        </w:tc>
        <w:tc>
          <w:tcPr>
            <w:tcW w:w="2240"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3</w:t>
            </w:r>
            <w:r>
              <w:rPr>
                <w:rFonts w:hint="eastAsia" w:ascii="仿宋_GB2312" w:hAnsi="仿宋_GB2312" w:eastAsia="仿宋_GB2312" w:cs="仿宋_GB2312"/>
                <w:b/>
                <w:bCs/>
                <w:sz w:val="20"/>
                <w:szCs w:val="20"/>
                <w:highlight w:val="none"/>
              </w:rPr>
              <w:t>年实际在职人数</w:t>
            </w:r>
          </w:p>
        </w:tc>
        <w:tc>
          <w:tcPr>
            <w:tcW w:w="2041"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控制率</w:t>
            </w:r>
          </w:p>
        </w:tc>
      </w:tr>
      <w:tr>
        <w:tblPrEx>
          <w:tblCellMar>
            <w:top w:w="0" w:type="dxa"/>
            <w:left w:w="108" w:type="dxa"/>
            <w:bottom w:w="0" w:type="dxa"/>
            <w:right w:w="108" w:type="dxa"/>
          </w:tblCellMar>
        </w:tblPrEx>
        <w:trPr>
          <w:trHeight w:val="0" w:hRule="atLeast"/>
          <w:jc w:val="center"/>
        </w:trPr>
        <w:tc>
          <w:tcPr>
            <w:tcW w:w="335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p>
        </w:tc>
        <w:tc>
          <w:tcPr>
            <w:tcW w:w="2038"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2</w:t>
            </w:r>
          </w:p>
        </w:tc>
        <w:tc>
          <w:tcPr>
            <w:tcW w:w="2240"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3</w:t>
            </w:r>
          </w:p>
        </w:tc>
        <w:tc>
          <w:tcPr>
            <w:tcW w:w="2041" w:type="dxa"/>
            <w:gridSpan w:val="2"/>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经费控制情况（万元）</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2</w:t>
            </w:r>
            <w:r>
              <w:rPr>
                <w:rFonts w:hint="eastAsia" w:ascii="仿宋_GB2312" w:hAnsi="仿宋_GB2312" w:eastAsia="仿宋_GB2312" w:cs="仿宋_GB2312"/>
                <w:b/>
                <w:bCs/>
                <w:sz w:val="20"/>
                <w:szCs w:val="20"/>
                <w:highlight w:val="none"/>
              </w:rPr>
              <w:t>年决算数</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3</w:t>
            </w:r>
            <w:r>
              <w:rPr>
                <w:rFonts w:hint="eastAsia" w:ascii="仿宋_GB2312" w:hAnsi="仿宋_GB2312" w:eastAsia="仿宋_GB2312" w:cs="仿宋_GB2312"/>
                <w:b/>
                <w:bCs/>
                <w:sz w:val="20"/>
                <w:szCs w:val="20"/>
                <w:highlight w:val="none"/>
              </w:rPr>
              <w:t>年预算数</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202</w:t>
            </w:r>
            <w:r>
              <w:rPr>
                <w:rFonts w:hint="eastAsia" w:ascii="仿宋_GB2312" w:hAnsi="仿宋_GB2312" w:eastAsia="仿宋_GB2312" w:cs="仿宋_GB2312"/>
                <w:b/>
                <w:bCs/>
                <w:sz w:val="20"/>
                <w:szCs w:val="20"/>
                <w:highlight w:val="none"/>
                <w:lang w:val="en-US" w:eastAsia="zh-CN"/>
              </w:rPr>
              <w:t>3</w:t>
            </w:r>
            <w:r>
              <w:rPr>
                <w:rFonts w:hint="eastAsia" w:ascii="仿宋_GB2312" w:hAnsi="仿宋_GB2312" w:eastAsia="仿宋_GB2312" w:cs="仿宋_GB2312"/>
                <w:b/>
                <w:bCs/>
                <w:sz w:val="20"/>
                <w:szCs w:val="20"/>
                <w:highlight w:val="none"/>
              </w:rPr>
              <w:t>年决算数</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三公经费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1、公务用车购置和维护经费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其中：公车购置</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公车运行维护</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2、出国经费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3、公务接待</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rPr>
            </w:pPr>
            <w:r>
              <w:rPr>
                <w:rFonts w:hint="eastAsia" w:ascii="仿宋_GB2312" w:hAnsi="仿宋_GB2312" w:eastAsia="仿宋_GB2312" w:cs="仿宋_GB2312"/>
                <w:sz w:val="20"/>
                <w:szCs w:val="20"/>
                <w:highlight w:val="none"/>
                <w:lang w:val="en-US" w:eastAsia="zh-CN"/>
              </w:rPr>
              <w:t>0.5</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0.5</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　</w:t>
            </w:r>
            <w:r>
              <w:rPr>
                <w:rFonts w:hint="eastAsia" w:ascii="仿宋_GB2312" w:hAnsi="仿宋_GB2312" w:eastAsia="仿宋_GB2312" w:cs="仿宋_GB2312"/>
                <w:sz w:val="20"/>
                <w:szCs w:val="20"/>
                <w:highlight w:val="none"/>
                <w:lang w:val="en-US" w:eastAsia="zh-CN"/>
              </w:rPr>
              <w:t>0.5</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项目支出：</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lang w:eastAsia="zh-CN"/>
              </w:rPr>
            </w:pPr>
            <w:r>
              <w:rPr>
                <w:rFonts w:hint="eastAsia" w:ascii="仿宋_GB2312" w:hAnsi="仿宋_GB2312" w:eastAsia="仿宋_GB2312" w:cs="仿宋_GB2312"/>
                <w:sz w:val="20"/>
                <w:szCs w:val="20"/>
                <w:highlight w:val="none"/>
              </w:rPr>
              <w:t xml:space="preserve">    1、</w:t>
            </w:r>
            <w:r>
              <w:rPr>
                <w:rFonts w:hint="eastAsia" w:ascii="仿宋_GB2312" w:hAnsi="仿宋_GB2312" w:eastAsia="仿宋_GB2312" w:cs="仿宋_GB2312"/>
                <w:sz w:val="20"/>
                <w:szCs w:val="20"/>
                <w:highlight w:val="none"/>
                <w:lang w:val="en-US" w:eastAsia="zh-CN"/>
              </w:rPr>
              <w:t>工作经费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7.19</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　</w:t>
            </w:r>
            <w:r>
              <w:rPr>
                <w:rFonts w:hint="eastAsia" w:ascii="仿宋_GB2312" w:hAnsi="仿宋_GB2312" w:eastAsia="仿宋_GB2312" w:cs="仿宋_GB2312"/>
                <w:sz w:val="20"/>
                <w:szCs w:val="20"/>
                <w:highlight w:val="none"/>
                <w:lang w:val="en-US" w:eastAsia="zh-CN"/>
              </w:rPr>
              <w:t>7.2</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7.2</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 xml:space="preserve">    2、</w:t>
            </w:r>
            <w:r>
              <w:rPr>
                <w:rFonts w:hint="eastAsia" w:ascii="仿宋_GB2312" w:hAnsi="仿宋_GB2312" w:eastAsia="仿宋_GB2312" w:cs="仿宋_GB2312"/>
                <w:sz w:val="20"/>
                <w:szCs w:val="20"/>
                <w:highlight w:val="none"/>
                <w:lang w:val="en-US" w:eastAsia="zh-CN"/>
              </w:rPr>
              <w:t>文化艺术协会经费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0</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7</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7</w:t>
            </w: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w:t>
            </w:r>
            <w:r>
              <w:rPr>
                <w:rFonts w:hint="eastAsia" w:ascii="仿宋_GB2312" w:hAnsi="仿宋_GB2312" w:eastAsia="仿宋_GB2312" w:cs="仿宋_GB2312"/>
                <w:sz w:val="20"/>
                <w:szCs w:val="20"/>
                <w:highlight w:val="none"/>
                <w:lang w:eastAsia="zh-CN"/>
              </w:rPr>
              <w:t>区级</w:t>
            </w:r>
            <w:r>
              <w:rPr>
                <w:rFonts w:hint="eastAsia" w:ascii="仿宋_GB2312" w:hAnsi="仿宋_GB2312" w:eastAsia="仿宋_GB2312" w:cs="仿宋_GB2312"/>
                <w:sz w:val="20"/>
                <w:szCs w:val="20"/>
                <w:highlight w:val="none"/>
              </w:rPr>
              <w:t>专项资金（一个专项一行）</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公用经费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30.91</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8.53</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46.56</w:t>
            </w:r>
          </w:p>
        </w:tc>
      </w:tr>
      <w:tr>
        <w:tblPrEx>
          <w:tblCellMar>
            <w:top w:w="0" w:type="dxa"/>
            <w:left w:w="108" w:type="dxa"/>
            <w:bottom w:w="0" w:type="dxa"/>
            <w:right w:w="108" w:type="dxa"/>
          </w:tblCellMar>
        </w:tblPrEx>
        <w:trPr>
          <w:trHeight w:val="9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其中：办公经费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1.87</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auto"/>
                <w:sz w:val="20"/>
                <w:szCs w:val="20"/>
                <w:highlight w:val="none"/>
              </w:rPr>
            </w:pPr>
            <w:r>
              <w:rPr>
                <w:rFonts w:hint="eastAsia" w:ascii="仿宋_GB2312" w:hAnsi="仿宋_GB2312" w:eastAsia="仿宋_GB2312" w:cs="仿宋_GB2312"/>
                <w:color w:val="auto"/>
                <w:sz w:val="20"/>
                <w:szCs w:val="20"/>
                <w:highlight w:val="none"/>
                <w:lang w:val="en-US" w:eastAsia="zh-CN"/>
              </w:rPr>
              <w:t>1.5</w:t>
            </w:r>
            <w:r>
              <w:rPr>
                <w:rFonts w:hint="eastAsia" w:ascii="仿宋_GB2312" w:hAnsi="仿宋_GB2312" w:eastAsia="仿宋_GB2312" w:cs="仿宋_GB2312"/>
                <w:color w:val="auto"/>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32.44</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      水费、电费、</w:t>
            </w:r>
            <w:r>
              <w:rPr>
                <w:rFonts w:hint="eastAsia" w:ascii="仿宋_GB2312" w:hAnsi="仿宋_GB2312" w:eastAsia="仿宋_GB2312" w:cs="仿宋_GB2312"/>
                <w:sz w:val="20"/>
                <w:szCs w:val="20"/>
                <w:highlight w:val="none"/>
                <w:lang w:val="en-US" w:eastAsia="zh-CN"/>
              </w:rPr>
              <w:t>邮电费、</w:t>
            </w:r>
            <w:r>
              <w:rPr>
                <w:rFonts w:hint="eastAsia" w:ascii="仿宋_GB2312" w:hAnsi="仿宋_GB2312" w:eastAsia="仿宋_GB2312" w:cs="仿宋_GB2312"/>
                <w:sz w:val="20"/>
                <w:szCs w:val="20"/>
                <w:highlight w:val="none"/>
              </w:rPr>
              <w:t>差旅费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0.67</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auto"/>
                <w:sz w:val="20"/>
                <w:szCs w:val="20"/>
                <w:highlight w:val="none"/>
              </w:rPr>
            </w:pPr>
            <w:r>
              <w:rPr>
                <w:rFonts w:hint="eastAsia" w:ascii="仿宋_GB2312" w:hAnsi="仿宋_GB2312" w:eastAsia="仿宋_GB2312" w:cs="仿宋_GB2312"/>
                <w:color w:val="auto"/>
                <w:sz w:val="20"/>
                <w:szCs w:val="20"/>
                <w:highlight w:val="none"/>
                <w:lang w:val="en-US" w:eastAsia="zh-CN"/>
              </w:rPr>
              <w:t>0.2</w:t>
            </w:r>
            <w:r>
              <w:rPr>
                <w:rFonts w:hint="eastAsia" w:ascii="仿宋_GB2312" w:hAnsi="仿宋_GB2312" w:eastAsia="仿宋_GB2312" w:cs="仿宋_GB2312"/>
                <w:color w:val="auto"/>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2.2</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 xml:space="preserve">      </w:t>
            </w:r>
            <w:r>
              <w:rPr>
                <w:rFonts w:hint="eastAsia" w:ascii="仿宋_GB2312" w:hAnsi="仿宋_GB2312" w:eastAsia="仿宋_GB2312" w:cs="仿宋_GB2312"/>
                <w:sz w:val="20"/>
                <w:szCs w:val="20"/>
                <w:highlight w:val="none"/>
                <w:lang w:val="en-US" w:eastAsia="zh-CN"/>
              </w:rPr>
              <w:t>维修费</w:t>
            </w:r>
            <w:r>
              <w:rPr>
                <w:rFonts w:hint="eastAsia" w:ascii="仿宋_GB2312" w:hAnsi="仿宋_GB2312" w:eastAsia="仿宋_GB2312" w:cs="仿宋_GB2312"/>
                <w:sz w:val="20"/>
                <w:szCs w:val="20"/>
                <w:highlight w:val="none"/>
                <w:lang w:eastAsia="zh-CN"/>
              </w:rPr>
              <w:t>、</w:t>
            </w:r>
            <w:r>
              <w:rPr>
                <w:rFonts w:hint="eastAsia" w:ascii="仿宋_GB2312" w:hAnsi="仿宋_GB2312" w:eastAsia="仿宋_GB2312" w:cs="仿宋_GB2312"/>
                <w:sz w:val="20"/>
                <w:szCs w:val="20"/>
                <w:highlight w:val="none"/>
                <w:lang w:val="en-US" w:eastAsia="zh-CN"/>
              </w:rPr>
              <w:t>印刷费、培训费</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rPr>
            </w:pPr>
            <w:r>
              <w:rPr>
                <w:rFonts w:hint="eastAsia" w:ascii="仿宋_GB2312" w:hAnsi="仿宋_GB2312" w:eastAsia="仿宋_GB2312" w:cs="仿宋_GB2312"/>
                <w:color w:val="auto"/>
                <w:sz w:val="20"/>
                <w:szCs w:val="20"/>
                <w:highlight w:val="none"/>
                <w:lang w:val="en-US" w:eastAsia="zh-CN"/>
              </w:rPr>
              <w:t>1.16</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auto"/>
                <w:sz w:val="20"/>
                <w:szCs w:val="20"/>
                <w:highlight w:val="none"/>
              </w:rPr>
            </w:pPr>
            <w:r>
              <w:rPr>
                <w:rFonts w:hint="eastAsia" w:ascii="仿宋_GB2312" w:hAnsi="仿宋_GB2312" w:eastAsia="仿宋_GB2312" w:cs="仿宋_GB2312"/>
                <w:color w:val="auto"/>
                <w:sz w:val="20"/>
                <w:szCs w:val="20"/>
                <w:highlight w:val="none"/>
                <w:lang w:val="en-US" w:eastAsia="zh-CN"/>
              </w:rPr>
              <w:t>0.91</w:t>
            </w:r>
            <w:r>
              <w:rPr>
                <w:rFonts w:hint="eastAsia" w:ascii="仿宋_GB2312" w:hAnsi="仿宋_GB2312" w:eastAsia="仿宋_GB2312" w:cs="仿宋_GB2312"/>
                <w:color w:val="auto"/>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color w:val="auto"/>
                <w:sz w:val="20"/>
                <w:szCs w:val="20"/>
                <w:highlight w:val="none"/>
              </w:rPr>
            </w:pPr>
            <w:r>
              <w:rPr>
                <w:rFonts w:hint="eastAsia" w:ascii="仿宋_GB2312" w:hAnsi="仿宋_GB2312" w:eastAsia="仿宋_GB2312" w:cs="仿宋_GB2312"/>
                <w:color w:val="auto"/>
                <w:sz w:val="20"/>
                <w:szCs w:val="20"/>
                <w:highlight w:val="none"/>
                <w:lang w:val="en-US" w:eastAsia="zh-CN"/>
              </w:rPr>
              <w:t>3.13</w:t>
            </w:r>
            <w:r>
              <w:rPr>
                <w:rFonts w:hint="eastAsia" w:ascii="仿宋_GB2312" w:hAnsi="仿宋_GB2312" w:eastAsia="仿宋_GB2312" w:cs="仿宋_GB2312"/>
                <w:color w:val="auto"/>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 xml:space="preserve">  劳务费、工会经费、其他交通费用</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20.29</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3.56</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4.36</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ind w:firstLine="591" w:firstLineChars="300"/>
              <w:jc w:val="left"/>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其他商品和服务支出</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5.51</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2.36</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3.92</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政府采购金额</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xml:space="preserve">部门基本支出预算调整 </w:t>
            </w:r>
          </w:p>
        </w:tc>
        <w:tc>
          <w:tcPr>
            <w:tcW w:w="2038"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w:t>
            </w:r>
          </w:p>
        </w:tc>
        <w:tc>
          <w:tcPr>
            <w:tcW w:w="2240"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62.1</w:t>
            </w:r>
            <w:r>
              <w:rPr>
                <w:rFonts w:hint="eastAsia" w:ascii="仿宋_GB2312" w:hAnsi="仿宋_GB2312" w:eastAsia="仿宋_GB2312" w:cs="仿宋_GB2312"/>
                <w:sz w:val="20"/>
                <w:szCs w:val="20"/>
                <w:highlight w:val="none"/>
              </w:rPr>
              <w:t>　</w:t>
            </w:r>
          </w:p>
        </w:tc>
        <w:tc>
          <w:tcPr>
            <w:tcW w:w="2041" w:type="dxa"/>
            <w:gridSpan w:val="2"/>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　</w:t>
            </w:r>
            <w:r>
              <w:rPr>
                <w:rFonts w:hint="eastAsia" w:ascii="仿宋_GB2312" w:hAnsi="仿宋_GB2312" w:eastAsia="仿宋_GB2312" w:cs="仿宋_GB2312"/>
                <w:sz w:val="20"/>
                <w:szCs w:val="20"/>
                <w:highlight w:val="none"/>
                <w:lang w:val="en-US" w:eastAsia="zh-CN"/>
              </w:rPr>
              <w:t>103.6</w:t>
            </w:r>
          </w:p>
        </w:tc>
      </w:tr>
      <w:tr>
        <w:tblPrEx>
          <w:tblCellMar>
            <w:top w:w="0" w:type="dxa"/>
            <w:left w:w="108" w:type="dxa"/>
            <w:bottom w:w="0" w:type="dxa"/>
            <w:right w:w="108" w:type="dxa"/>
          </w:tblCellMar>
        </w:tblPrEx>
        <w:trPr>
          <w:trHeight w:val="0" w:hRule="atLeast"/>
          <w:jc w:val="center"/>
        </w:trPr>
        <w:tc>
          <w:tcPr>
            <w:tcW w:w="3354" w:type="dxa"/>
            <w:vMerge w:val="restart"/>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楼堂馆所控制情况</w:t>
            </w:r>
            <w:r>
              <w:rPr>
                <w:rFonts w:hint="eastAsia" w:ascii="仿宋_GB2312" w:hAnsi="仿宋_GB2312" w:eastAsia="仿宋_GB2312" w:cs="仿宋_GB2312"/>
                <w:sz w:val="20"/>
                <w:szCs w:val="20"/>
                <w:highlight w:val="none"/>
              </w:rPr>
              <w:br w:type="textWrapping"/>
            </w:r>
            <w:r>
              <w:rPr>
                <w:rFonts w:hint="eastAsia" w:ascii="仿宋_GB2312" w:hAnsi="仿宋_GB2312" w:eastAsia="仿宋_GB2312" w:cs="仿宋_GB2312"/>
                <w:sz w:val="20"/>
                <w:szCs w:val="20"/>
                <w:highlight w:val="none"/>
              </w:rPr>
              <w:t>（202</w:t>
            </w:r>
            <w:r>
              <w:rPr>
                <w:rFonts w:hint="eastAsia" w:ascii="仿宋_GB2312" w:hAnsi="仿宋_GB2312" w:eastAsia="仿宋_GB2312" w:cs="仿宋_GB2312"/>
                <w:sz w:val="20"/>
                <w:szCs w:val="20"/>
                <w:highlight w:val="none"/>
                <w:lang w:val="en-US" w:eastAsia="zh-CN"/>
              </w:rPr>
              <w:t>3</w:t>
            </w:r>
            <w:r>
              <w:rPr>
                <w:rFonts w:hint="eastAsia" w:ascii="仿宋_GB2312" w:hAnsi="仿宋_GB2312" w:eastAsia="仿宋_GB2312" w:cs="仿宋_GB2312"/>
                <w:sz w:val="20"/>
                <w:szCs w:val="20"/>
                <w:highlight w:val="none"/>
              </w:rPr>
              <w:t>年完工项目）</w:t>
            </w:r>
          </w:p>
        </w:tc>
        <w:tc>
          <w:tcPr>
            <w:tcW w:w="118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批复规模</w:t>
            </w:r>
            <w:r>
              <w:rPr>
                <w:rFonts w:hint="eastAsia" w:ascii="仿宋_GB2312" w:hAnsi="仿宋_GB2312" w:eastAsia="仿宋_GB2312" w:cs="仿宋_GB2312"/>
                <w:bCs/>
                <w:sz w:val="20"/>
                <w:szCs w:val="20"/>
                <w:highlight w:val="none"/>
              </w:rPr>
              <w:br w:type="textWrapping"/>
            </w:r>
            <w:r>
              <w:rPr>
                <w:rFonts w:hint="eastAsia" w:ascii="仿宋_GB2312" w:hAnsi="仿宋_GB2312" w:eastAsia="仿宋_GB2312" w:cs="仿宋_GB2312"/>
                <w:bCs/>
                <w:sz w:val="20"/>
                <w:szCs w:val="20"/>
                <w:highlight w:val="none"/>
              </w:rPr>
              <w:t>（㎡）</w:t>
            </w:r>
          </w:p>
        </w:tc>
        <w:tc>
          <w:tcPr>
            <w:tcW w:w="84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实际规模（㎡）</w:t>
            </w:r>
          </w:p>
        </w:tc>
        <w:tc>
          <w:tcPr>
            <w:tcW w:w="112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规模控制率</w:t>
            </w:r>
          </w:p>
        </w:tc>
        <w:tc>
          <w:tcPr>
            <w:tcW w:w="1111"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预算投资（万元）</w:t>
            </w:r>
          </w:p>
        </w:tc>
        <w:tc>
          <w:tcPr>
            <w:tcW w:w="1081"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实际投资（万元）</w:t>
            </w:r>
          </w:p>
        </w:tc>
        <w:tc>
          <w:tcPr>
            <w:tcW w:w="960"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bCs/>
                <w:sz w:val="20"/>
                <w:szCs w:val="20"/>
                <w:highlight w:val="none"/>
              </w:rPr>
            </w:pPr>
            <w:r>
              <w:rPr>
                <w:rFonts w:hint="eastAsia" w:ascii="仿宋_GB2312" w:hAnsi="仿宋_GB2312" w:eastAsia="仿宋_GB2312" w:cs="仿宋_GB2312"/>
                <w:bCs/>
                <w:sz w:val="20"/>
                <w:szCs w:val="20"/>
                <w:highlight w:val="none"/>
              </w:rPr>
              <w:t>投资概算控制率</w:t>
            </w:r>
          </w:p>
        </w:tc>
      </w:tr>
      <w:tr>
        <w:tblPrEx>
          <w:tblCellMar>
            <w:top w:w="0" w:type="dxa"/>
            <w:left w:w="108" w:type="dxa"/>
            <w:bottom w:w="0" w:type="dxa"/>
            <w:right w:w="108" w:type="dxa"/>
          </w:tblCellMar>
        </w:tblPrEx>
        <w:trPr>
          <w:trHeight w:val="0" w:hRule="atLeast"/>
          <w:jc w:val="center"/>
        </w:trPr>
        <w:tc>
          <w:tcPr>
            <w:tcW w:w="3354" w:type="dxa"/>
            <w:vMerge w:val="continue"/>
            <w:tcBorders>
              <w:top w:val="nil"/>
              <w:left w:val="single" w:color="auto" w:sz="4" w:space="0"/>
              <w:bottom w:val="single" w:color="auto" w:sz="4" w:space="0"/>
              <w:right w:val="single" w:color="auto" w:sz="4" w:space="0"/>
            </w:tcBorders>
            <w:noWrap w:val="0"/>
            <w:vAlign w:val="center"/>
          </w:tcPr>
          <w:p>
            <w:pPr>
              <w:widowControl/>
              <w:spacing w:line="360" w:lineRule="exact"/>
              <w:jc w:val="left"/>
              <w:rPr>
                <w:rFonts w:hint="eastAsia" w:ascii="仿宋_GB2312" w:hAnsi="仿宋_GB2312" w:eastAsia="仿宋_GB2312" w:cs="仿宋_GB2312"/>
                <w:sz w:val="20"/>
                <w:szCs w:val="20"/>
                <w:highlight w:val="none"/>
              </w:rPr>
            </w:pPr>
          </w:p>
        </w:tc>
        <w:tc>
          <w:tcPr>
            <w:tcW w:w="1189" w:type="dxa"/>
            <w:tcBorders>
              <w:top w:val="nil"/>
              <w:left w:val="nil"/>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48</w:t>
            </w:r>
            <w:r>
              <w:rPr>
                <w:rFonts w:hint="eastAsia" w:ascii="仿宋_GB2312" w:hAnsi="仿宋_GB2312" w:eastAsia="仿宋_GB2312" w:cs="仿宋_GB2312"/>
                <w:sz w:val="20"/>
                <w:szCs w:val="20"/>
                <w:highlight w:val="none"/>
              </w:rPr>
              <w:t>　</w:t>
            </w:r>
          </w:p>
        </w:tc>
        <w:tc>
          <w:tcPr>
            <w:tcW w:w="849" w:type="dxa"/>
            <w:tcBorders>
              <w:top w:val="nil"/>
              <w:left w:val="nil"/>
              <w:bottom w:val="single" w:color="auto" w:sz="4" w:space="0"/>
              <w:right w:val="single" w:color="auto"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33.5</w:t>
            </w:r>
          </w:p>
        </w:tc>
        <w:tc>
          <w:tcPr>
            <w:tcW w:w="1129" w:type="dxa"/>
            <w:tcBorders>
              <w:top w:val="nil"/>
              <w:left w:val="nil"/>
              <w:bottom w:val="single" w:color="auto" w:sz="4" w:space="0"/>
              <w:right w:val="single" w:color="auto" w:sz="4" w:space="0"/>
            </w:tcBorders>
            <w:noWrap w:val="0"/>
            <w:vAlign w:val="center"/>
          </w:tcPr>
          <w:p>
            <w:pPr>
              <w:widowControl/>
              <w:tabs>
                <w:tab w:val="left" w:pos="485"/>
              </w:tabs>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100%</w:t>
            </w:r>
          </w:p>
        </w:tc>
        <w:tc>
          <w:tcPr>
            <w:tcW w:w="1111" w:type="dxa"/>
            <w:tcBorders>
              <w:top w:val="nil"/>
              <w:left w:val="nil"/>
              <w:bottom w:val="single" w:color="auto" w:sz="4" w:space="0"/>
              <w:right w:val="single" w:color="auto"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0.01</w:t>
            </w:r>
          </w:p>
        </w:tc>
        <w:tc>
          <w:tcPr>
            <w:tcW w:w="1081" w:type="dxa"/>
            <w:tcBorders>
              <w:top w:val="nil"/>
              <w:left w:val="nil"/>
              <w:bottom w:val="single" w:color="auto" w:sz="4" w:space="0"/>
              <w:right w:val="single" w:color="auto"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0.01</w:t>
            </w:r>
          </w:p>
        </w:tc>
        <w:tc>
          <w:tcPr>
            <w:tcW w:w="960" w:type="dxa"/>
            <w:tcBorders>
              <w:top w:val="nil"/>
              <w:left w:val="nil"/>
              <w:bottom w:val="single" w:color="auto" w:sz="4" w:space="0"/>
              <w:right w:val="single" w:color="auto" w:sz="4" w:space="0"/>
            </w:tcBorders>
            <w:noWrap w:val="0"/>
            <w:vAlign w:val="center"/>
          </w:tcPr>
          <w:p>
            <w:pPr>
              <w:widowControl/>
              <w:spacing w:line="360" w:lineRule="exact"/>
              <w:jc w:val="center"/>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100%</w:t>
            </w:r>
          </w:p>
        </w:tc>
      </w:tr>
      <w:tr>
        <w:tblPrEx>
          <w:tblCellMar>
            <w:top w:w="0" w:type="dxa"/>
            <w:left w:w="108" w:type="dxa"/>
            <w:bottom w:w="0" w:type="dxa"/>
            <w:right w:w="108" w:type="dxa"/>
          </w:tblCellMar>
        </w:tblPrEx>
        <w:trPr>
          <w:trHeight w:val="0" w:hRule="atLeast"/>
          <w:jc w:val="center"/>
        </w:trPr>
        <w:tc>
          <w:tcPr>
            <w:tcW w:w="3354" w:type="dxa"/>
            <w:tcBorders>
              <w:top w:val="nil"/>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厉行节约保障措施</w:t>
            </w:r>
          </w:p>
        </w:tc>
        <w:tc>
          <w:tcPr>
            <w:tcW w:w="6319" w:type="dxa"/>
            <w:gridSpan w:val="6"/>
            <w:tcBorders>
              <w:top w:val="single" w:color="auto" w:sz="4" w:space="0"/>
              <w:left w:val="nil"/>
              <w:bottom w:val="single" w:color="auto" w:sz="4" w:space="0"/>
              <w:right w:val="single" w:color="000000" w:sz="4" w:space="0"/>
            </w:tcBorders>
            <w:noWrap w:val="0"/>
            <w:vAlign w:val="center"/>
          </w:tcPr>
          <w:p>
            <w:pPr>
              <w:widowControl/>
              <w:spacing w:line="360" w:lineRule="exact"/>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　</w:t>
            </w:r>
          </w:p>
        </w:tc>
      </w:tr>
    </w:tbl>
    <w:p>
      <w:pPr>
        <w:widowControl/>
        <w:spacing w:afterLines="0" w:line="400" w:lineRule="exact"/>
        <w:jc w:val="left"/>
        <w:rPr>
          <w:rFonts w:hint="default" w:ascii="Times New Roman" w:hAnsi="Times New Roman" w:eastAsia="仿宋_GB2312" w:cs="Times New Roman"/>
          <w:sz w:val="22"/>
          <w:highlight w:val="none"/>
        </w:rPr>
      </w:pPr>
      <w:r>
        <w:rPr>
          <w:rFonts w:hint="default" w:ascii="Times New Roman" w:hAnsi="Times New Roman" w:eastAsia="仿宋_GB2312" w:cs="Times New Roman"/>
          <w:sz w:val="22"/>
          <w:highlight w:val="none"/>
        </w:rPr>
        <w:t>说明：“项目支出”需要填报基本支出以外的所有项目支出情况，“公用经费”填报基本支出中的一般商品和服务支出。</w:t>
      </w:r>
    </w:p>
    <w:p>
      <w:pPr>
        <w:widowControl/>
        <w:spacing w:afterLines="0" w:line="400" w:lineRule="exact"/>
        <w:jc w:val="left"/>
        <w:rPr>
          <w:rFonts w:hint="default" w:ascii="Times New Roman" w:hAnsi="Times New Roman" w:eastAsia="仿宋_GB2312" w:cs="Times New Roman"/>
          <w:sz w:val="22"/>
          <w:highlight w:val="none"/>
        </w:rPr>
      </w:pPr>
    </w:p>
    <w:p>
      <w:pPr>
        <w:pStyle w:val="7"/>
        <w:ind w:left="0" w:leftChars="0" w:firstLine="0" w:firstLineChars="0"/>
        <w:rPr>
          <w:rFonts w:hint="default" w:ascii="Times New Roman" w:hAnsi="Times New Roman" w:eastAsia="仿宋_GB2312" w:cs="Times New Roman"/>
          <w:sz w:val="22"/>
          <w:highlight w:val="none"/>
        </w:rPr>
      </w:pPr>
      <w:r>
        <w:rPr>
          <w:rFonts w:hint="default" w:ascii="Times New Roman" w:hAnsi="Times New Roman" w:eastAsia="仿宋_GB2312" w:cs="Times New Roman"/>
          <w:sz w:val="22"/>
          <w:highlight w:val="none"/>
        </w:rPr>
        <w:t>填表人：</w:t>
      </w:r>
      <w:r>
        <w:rPr>
          <w:rFonts w:hint="eastAsia" w:ascii="Times New Roman" w:hAnsi="Times New Roman" w:eastAsia="仿宋_GB2312" w:cs="Times New Roman"/>
          <w:sz w:val="22"/>
          <w:highlight w:val="none"/>
          <w:lang w:val="en-US" w:eastAsia="zh-CN"/>
        </w:rPr>
        <w:t>王奕慧</w:t>
      </w:r>
      <w:r>
        <w:rPr>
          <w:rFonts w:hint="default" w:ascii="Times New Roman" w:hAnsi="Times New Roman" w:eastAsia="仿宋_GB2312" w:cs="Times New Roman"/>
          <w:sz w:val="22"/>
          <w:highlight w:val="none"/>
        </w:rPr>
        <w:t xml:space="preserve"> 填报日期：</w:t>
      </w:r>
      <w:r>
        <w:rPr>
          <w:rFonts w:hint="eastAsia" w:ascii="Times New Roman" w:hAnsi="Times New Roman" w:eastAsia="仿宋_GB2312" w:cs="Times New Roman"/>
          <w:sz w:val="22"/>
          <w:highlight w:val="none"/>
          <w:lang w:val="en-US" w:eastAsia="zh-CN"/>
        </w:rPr>
        <w:t>2024年7月12日</w:t>
      </w:r>
      <w:r>
        <w:rPr>
          <w:rFonts w:hint="default" w:ascii="Times New Roman" w:hAnsi="Times New Roman" w:eastAsia="仿宋_GB2312" w:cs="Times New Roman"/>
          <w:sz w:val="22"/>
          <w:highlight w:val="none"/>
        </w:rPr>
        <w:t xml:space="preserve"> 联系电话：</w:t>
      </w:r>
      <w:r>
        <w:rPr>
          <w:rFonts w:hint="eastAsia" w:ascii="Times New Roman" w:hAnsi="Times New Roman" w:eastAsia="仿宋_GB2312" w:cs="Times New Roman"/>
          <w:sz w:val="22"/>
          <w:highlight w:val="none"/>
          <w:lang w:val="en-US" w:eastAsia="zh-CN"/>
        </w:rPr>
        <w:t>19173012235</w:t>
      </w:r>
      <w:r>
        <w:rPr>
          <w:rFonts w:hint="default" w:ascii="Times New Roman" w:hAnsi="Times New Roman" w:eastAsia="仿宋_GB2312" w:cs="Times New Roman"/>
          <w:sz w:val="22"/>
          <w:highlight w:val="none"/>
        </w:rPr>
        <w:t xml:space="preserve"> 单位负责人签字：</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default" w:ascii="Times New Roman" w:hAnsi="Times New Roman" w:eastAsia="仿宋_GB2312" w:cs="Times New Roman"/>
          <w:sz w:val="22"/>
          <w:highlight w:val="none"/>
        </w:rPr>
        <w:br w:type="page"/>
      </w: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w:t>
      </w:r>
      <w:r>
        <w:rPr>
          <w:rFonts w:hint="eastAsia" w:eastAsia="仿宋_GB2312"/>
          <w:sz w:val="32"/>
          <w:szCs w:val="32"/>
          <w:u w:val="single"/>
          <w:lang w:val="en-US" w:eastAsia="zh-CN"/>
        </w:rPr>
        <w:t>岳阳市云溪区文学艺术界联合会</w:t>
      </w:r>
      <w:r>
        <w:rPr>
          <w:rFonts w:hint="eastAsia" w:eastAsia="仿宋_GB2312"/>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140001</w:t>
      </w:r>
      <w:r>
        <w:rPr>
          <w:rFonts w:hint="eastAsia" w:eastAsia="仿宋_GB2312"/>
          <w:spacing w:val="20"/>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年 </w:t>
      </w:r>
      <w:r>
        <w:rPr>
          <w:rFonts w:hint="eastAsia" w:eastAsia="仿宋_GB2312"/>
          <w:sz w:val="32"/>
          <w:lang w:val="en-US" w:eastAsia="zh-CN"/>
        </w:rPr>
        <w:t>7</w:t>
      </w:r>
      <w:r>
        <w:rPr>
          <w:rFonts w:hint="eastAsia" w:eastAsia="仿宋_GB2312"/>
          <w:sz w:val="32"/>
        </w:rPr>
        <w:t xml:space="preserve"> 月 </w:t>
      </w:r>
      <w:r>
        <w:rPr>
          <w:rFonts w:hint="eastAsia" w:eastAsia="仿宋_GB2312"/>
          <w:sz w:val="32"/>
          <w:lang w:val="en-US" w:eastAsia="zh-CN"/>
        </w:rPr>
        <w:t>12</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rPr>
        <w:t>岳阳市云溪财政</w:t>
      </w:r>
      <w:r>
        <w:rPr>
          <w:rFonts w:hint="eastAsia" w:eastAsia="仿宋_GB2312"/>
          <w:sz w:val="32"/>
          <w:szCs w:val="32"/>
        </w:rPr>
        <w:t>局（制）</w:t>
      </w:r>
    </w:p>
    <w:p>
      <w:pPr>
        <w:pStyle w:val="7"/>
        <w:rPr>
          <w:rFonts w:hint="eastAsia" w:eastAsia="仿宋_GB2312"/>
          <w:sz w:val="32"/>
          <w:szCs w:val="32"/>
        </w:rPr>
      </w:pPr>
    </w:p>
    <w:p>
      <w:pPr>
        <w:pStyle w:val="7"/>
        <w:rPr>
          <w:rFonts w:hint="eastAsia" w:eastAsia="仿宋_GB2312"/>
          <w:sz w:val="32"/>
          <w:szCs w:val="32"/>
        </w:rPr>
      </w:pPr>
    </w:p>
    <w:p>
      <w:pPr>
        <w:pStyle w:val="7"/>
        <w:rPr>
          <w:rFonts w:hint="eastAsia" w:eastAsia="仿宋_GB2312"/>
          <w:sz w:val="32"/>
          <w:szCs w:val="32"/>
        </w:rPr>
      </w:pPr>
    </w:p>
    <w:p>
      <w:pPr>
        <w:pStyle w:val="7"/>
        <w:rPr>
          <w:rFonts w:hint="eastAsia" w:eastAsia="仿宋_GB2312"/>
          <w:sz w:val="32"/>
          <w:szCs w:val="32"/>
        </w:rPr>
      </w:pPr>
    </w:p>
    <w:p>
      <w:pPr>
        <w:pStyle w:val="7"/>
        <w:rPr>
          <w:rFonts w:hint="eastAsia" w:eastAsia="仿宋_GB2312"/>
          <w:sz w:val="32"/>
          <w:szCs w:val="32"/>
        </w:rPr>
      </w:pPr>
    </w:p>
    <w:p>
      <w:pPr>
        <w:pStyle w:val="7"/>
        <w:rPr>
          <w:rFonts w:hint="eastAsia" w:eastAsia="仿宋_GB2312"/>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tbl>
      <w:tblPr>
        <w:tblStyle w:val="3"/>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753"/>
        <w:gridCol w:w="780"/>
        <w:gridCol w:w="121"/>
        <w:gridCol w:w="824"/>
        <w:gridCol w:w="395"/>
        <w:gridCol w:w="1080"/>
        <w:gridCol w:w="5"/>
        <w:gridCol w:w="1332"/>
        <w:gridCol w:w="1078"/>
        <w:gridCol w:w="15"/>
        <w:gridCol w:w="311"/>
        <w:gridCol w:w="422"/>
        <w:gridCol w:w="477"/>
        <w:gridCol w:w="155"/>
        <w:gridCol w:w="30"/>
        <w:gridCol w:w="325"/>
        <w:gridCol w:w="720"/>
        <w:gridCol w:w="9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9800" w:type="dxa"/>
            <w:gridSpan w:val="18"/>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三、部门（单位）整体支出绩效自评情况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42" w:hRule="atLeast"/>
          <w:jc w:val="center"/>
        </w:trPr>
        <w:tc>
          <w:tcPr>
            <w:tcW w:w="753" w:type="dxa"/>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2120" w:type="dxa"/>
            <w:gridSpan w:val="4"/>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108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年初预算</w:t>
            </w:r>
          </w:p>
        </w:tc>
        <w:tc>
          <w:tcPr>
            <w:tcW w:w="1337"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全年预算数</w:t>
            </w:r>
          </w:p>
        </w:tc>
        <w:tc>
          <w:tcPr>
            <w:tcW w:w="2303" w:type="dxa"/>
            <w:gridSpan w:val="5"/>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全年执行数</w:t>
            </w:r>
          </w:p>
        </w:tc>
        <w:tc>
          <w:tcPr>
            <w:tcW w:w="510"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分值</w:t>
            </w:r>
          </w:p>
        </w:tc>
        <w:tc>
          <w:tcPr>
            <w:tcW w:w="72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执行率</w:t>
            </w:r>
          </w:p>
        </w:tc>
        <w:tc>
          <w:tcPr>
            <w:tcW w:w="977" w:type="dxa"/>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22" w:hRule="atLeast"/>
          <w:jc w:val="center"/>
        </w:trPr>
        <w:tc>
          <w:tcPr>
            <w:tcW w:w="753" w:type="dxa"/>
            <w:vMerge w:val="restart"/>
            <w:tcBorders>
              <w:right w:val="single" w:color="auto" w:sz="4" w:space="0"/>
            </w:tcBorders>
            <w:noWrap w:val="0"/>
            <w:vAlign w:val="center"/>
          </w:tcPr>
          <w:p>
            <w:pPr>
              <w:keepNext w:val="0"/>
              <w:keepLines w:val="0"/>
              <w:pageBreakBefore w:val="0"/>
              <w:widowControl w:val="0"/>
              <w:tabs>
                <w:tab w:val="left" w:pos="498"/>
              </w:tabs>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年度预算申请</w:t>
            </w:r>
          </w:p>
          <w:p>
            <w:pPr>
              <w:pStyle w:val="7"/>
              <w:keepNext w:val="0"/>
              <w:keepLines w:val="0"/>
              <w:pageBreakBefore w:val="0"/>
              <w:widowControl w:val="0"/>
              <w:kinsoku/>
              <w:wordWrap/>
              <w:overflowPunct/>
              <w:topLinePunct w:val="0"/>
              <w:autoSpaceDE/>
              <w:bidi w:val="0"/>
              <w:adjustRightInd/>
              <w:snapToGrid/>
              <w:spacing w:line="240" w:lineRule="exact"/>
              <w:ind w:left="0" w:leftChars="0" w:firstLine="0" w:firstLineChars="0"/>
              <w:jc w:val="center"/>
              <w:rPr>
                <w:rFonts w:hint="eastAsia"/>
                <w:lang w:val="en-US" w:eastAsia="zh-CN"/>
              </w:rPr>
            </w:pPr>
            <w:r>
              <w:rPr>
                <w:rFonts w:hint="eastAsia" w:ascii="仿宋_GB2312" w:hAnsi="仿宋_GB2312" w:eastAsia="仿宋_GB2312" w:cs="仿宋_GB2312"/>
                <w:color w:val="000000"/>
                <w:sz w:val="18"/>
                <w:szCs w:val="18"/>
                <w:lang w:val="en-US" w:eastAsia="zh-CN"/>
              </w:rPr>
              <w:t>（万元）</w:t>
            </w:r>
          </w:p>
        </w:tc>
        <w:tc>
          <w:tcPr>
            <w:tcW w:w="2120" w:type="dxa"/>
            <w:gridSpan w:val="4"/>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年度资金总额</w:t>
            </w:r>
          </w:p>
        </w:tc>
        <w:tc>
          <w:tcPr>
            <w:tcW w:w="108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62.1</w:t>
            </w:r>
          </w:p>
        </w:tc>
        <w:tc>
          <w:tcPr>
            <w:tcW w:w="1337"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103.6</w:t>
            </w:r>
          </w:p>
        </w:tc>
        <w:tc>
          <w:tcPr>
            <w:tcW w:w="2303" w:type="dxa"/>
            <w:gridSpan w:val="5"/>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103.6</w:t>
            </w:r>
          </w:p>
        </w:tc>
        <w:tc>
          <w:tcPr>
            <w:tcW w:w="510" w:type="dxa"/>
            <w:gridSpan w:val="3"/>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72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100%</w:t>
            </w:r>
          </w:p>
        </w:tc>
        <w:tc>
          <w:tcPr>
            <w:tcW w:w="977" w:type="dxa"/>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37"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537"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按收入性质分：103.6</w:t>
            </w:r>
          </w:p>
        </w:tc>
        <w:tc>
          <w:tcPr>
            <w:tcW w:w="4510" w:type="dxa"/>
            <w:gridSpan w:val="10"/>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按支出性质分：103.6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02"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537"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其中：一般公共预算：64.76</w:t>
            </w:r>
          </w:p>
        </w:tc>
        <w:tc>
          <w:tcPr>
            <w:tcW w:w="4510" w:type="dxa"/>
            <w:gridSpan w:val="10"/>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其中：基本支出89.4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90"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537"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 xml:space="preserve">     政府性基金拨款：</w:t>
            </w:r>
          </w:p>
        </w:tc>
        <w:tc>
          <w:tcPr>
            <w:tcW w:w="4510" w:type="dxa"/>
            <w:gridSpan w:val="10"/>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 xml:space="preserve">      项目支出14.2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22"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537"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纳入专户管理的非税收入拨款：</w:t>
            </w:r>
          </w:p>
        </w:tc>
        <w:tc>
          <w:tcPr>
            <w:tcW w:w="4510" w:type="dxa"/>
            <w:gridSpan w:val="10"/>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7" w:hRule="atLeast"/>
          <w:jc w:val="center"/>
        </w:trPr>
        <w:tc>
          <w:tcPr>
            <w:tcW w:w="753" w:type="dxa"/>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val="en-US" w:eastAsia="zh-CN"/>
              </w:rPr>
            </w:pPr>
          </w:p>
        </w:tc>
        <w:tc>
          <w:tcPr>
            <w:tcW w:w="4537" w:type="dxa"/>
            <w:gridSpan w:val="7"/>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 xml:space="preserve">     其他资金：38.84</w:t>
            </w:r>
          </w:p>
        </w:tc>
        <w:tc>
          <w:tcPr>
            <w:tcW w:w="4510" w:type="dxa"/>
            <w:gridSpan w:val="10"/>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87" w:hRule="atLeast"/>
          <w:jc w:val="center"/>
        </w:trPr>
        <w:tc>
          <w:tcPr>
            <w:tcW w:w="753"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eastAsia="zh-CN"/>
              </w:rPr>
              <w:t>年度总体</w:t>
            </w:r>
          </w:p>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eastAsia="zh-CN"/>
              </w:rPr>
              <w:t>目标</w:t>
            </w:r>
          </w:p>
        </w:tc>
        <w:tc>
          <w:tcPr>
            <w:tcW w:w="4537"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预期目标</w:t>
            </w:r>
          </w:p>
        </w:tc>
        <w:tc>
          <w:tcPr>
            <w:tcW w:w="4510" w:type="dxa"/>
            <w:gridSpan w:val="10"/>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实际完成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7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240" w:lineRule="exact"/>
              <w:rPr>
                <w:rFonts w:hint="eastAsia" w:ascii="仿宋_GB2312" w:hAnsi="仿宋_GB2312" w:eastAsia="仿宋_GB2312" w:cs="仿宋_GB2312"/>
                <w:sz w:val="18"/>
                <w:szCs w:val="18"/>
              </w:rPr>
            </w:pPr>
          </w:p>
        </w:tc>
        <w:tc>
          <w:tcPr>
            <w:tcW w:w="4537" w:type="dxa"/>
            <w:gridSpan w:val="7"/>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b/>
                <w:bCs/>
                <w:color w:val="000000"/>
                <w:sz w:val="18"/>
                <w:szCs w:val="18"/>
                <w:lang w:val="en-US" w:eastAsia="zh-CN"/>
              </w:rPr>
              <w:t>思想引领：</w:t>
            </w:r>
            <w:r>
              <w:rPr>
                <w:rFonts w:hint="eastAsia" w:ascii="仿宋_GB2312" w:hAnsi="仿宋_GB2312" w:eastAsia="仿宋_GB2312" w:cs="仿宋_GB2312"/>
                <w:color w:val="000000"/>
                <w:sz w:val="18"/>
                <w:szCs w:val="18"/>
                <w:lang w:val="en-US" w:eastAsia="zh-CN"/>
              </w:rPr>
              <w:t>开展“礼赞二十大、奋进新征程”系列活动；开展书画协会到机关、到社区、到学校开展送春联活动；与区侨联开展“礼赞二十大、侨联送福音”活动；组织摄影协会会员开展“贯彻二十大、展示新云溪”主题拍摄活动，为建区四十周年相关活动作准备。</w:t>
            </w:r>
          </w:p>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b/>
                <w:bCs/>
                <w:color w:val="000000"/>
                <w:sz w:val="18"/>
                <w:szCs w:val="18"/>
                <w:lang w:val="en-US" w:eastAsia="zh-CN"/>
              </w:rPr>
              <w:t>服务中心：</w:t>
            </w:r>
            <w:r>
              <w:rPr>
                <w:rFonts w:hint="eastAsia" w:ascii="仿宋_GB2312" w:hAnsi="仿宋_GB2312" w:eastAsia="仿宋_GB2312" w:cs="仿宋_GB2312"/>
                <w:color w:val="000000"/>
                <w:sz w:val="18"/>
                <w:szCs w:val="18"/>
                <w:lang w:val="en-US" w:eastAsia="zh-CN"/>
              </w:rPr>
              <w:t>组织各协会骨干力量全面参与云溪区 “首届樱花节”活动；开展陆城古镇乡村产业振兴采风：全力配合陆城“虾蟹节”活动。</w:t>
            </w:r>
          </w:p>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b/>
                <w:bCs/>
                <w:color w:val="000000"/>
                <w:sz w:val="18"/>
                <w:szCs w:val="18"/>
                <w:lang w:val="en-US" w:eastAsia="zh-CN"/>
              </w:rPr>
              <w:t>服务群众：</w:t>
            </w:r>
            <w:r>
              <w:rPr>
                <w:rFonts w:hint="eastAsia" w:ascii="仿宋_GB2312" w:hAnsi="仿宋_GB2312" w:eastAsia="仿宋_GB2312" w:cs="仿宋_GB2312"/>
                <w:color w:val="000000"/>
                <w:sz w:val="18"/>
                <w:szCs w:val="18"/>
                <w:lang w:val="en-US" w:eastAsia="zh-CN"/>
              </w:rPr>
              <w:t>请省市文艺名家来云溪授课3堂，组织摄协、书画协会会员在新时代文明实践中心开展面向社会、服务群众摄影、书法知识培训4次。</w:t>
            </w:r>
          </w:p>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b/>
                <w:bCs/>
                <w:color w:val="000000"/>
                <w:sz w:val="18"/>
                <w:szCs w:val="18"/>
                <w:lang w:val="en-US" w:eastAsia="zh-CN"/>
              </w:rPr>
              <w:t>文艺队伍建设：</w:t>
            </w:r>
            <w:r>
              <w:rPr>
                <w:rFonts w:hint="eastAsia" w:ascii="仿宋_GB2312" w:hAnsi="仿宋_GB2312" w:eastAsia="仿宋_GB2312" w:cs="仿宋_GB2312"/>
                <w:color w:val="000000"/>
                <w:sz w:val="18"/>
                <w:szCs w:val="18"/>
                <w:lang w:val="en-US" w:eastAsia="zh-CN"/>
              </w:rPr>
              <w:t>筹备、组织开展区文联换届工作，指导区书画协会、音乐协会换届。</w:t>
            </w:r>
          </w:p>
        </w:tc>
        <w:tc>
          <w:tcPr>
            <w:tcW w:w="4510" w:type="dxa"/>
            <w:gridSpan w:val="10"/>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1月开展了13场次到机关、社区、学校、敬老院迎春送福活动，送春联4200多幅；摄影协会到区内各历史人文景点拍摄照片1000多张，收集老照片200多张。</w:t>
            </w:r>
          </w:p>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3月份，区文联组织书画、舞协、音协和诗联等协会联合参与，助力“首届樱花节”隆重开幕，在双花村文化活动中心开展了“墨上花开，樱你而来”乡村振兴书画摄影展。共展出书画作品近80多幅，摄影作品40多幅。10月份，区文联按区委要求，组织摄影协会、书画协会、民间文艺协会等170多件摄影、书画和民间文艺作品，在枫桥湖社区集中展出，作品集中反映了产业发展、乡村振兴、人文景观和特种养殖等，观摩人员达30000多人次。</w:t>
            </w:r>
            <w:bookmarkStart w:id="0" w:name="_GoBack"/>
            <w:bookmarkEnd w:id="0"/>
          </w:p>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6月8日，以“拥抱云山溪水文学春天”为主题，邀请了湖南省日报副刊主编杨丹老师来云溪举办专题讲座，50多名文学爱好者聆听受益。另外在摄影、诗词年会上，也分别开展了两场专题讲座，摄影协会副主席曾维平还在新时代文明实践中心举办了两堂摄影公益讲座，书画协会举办两场培训，文联副主席陈自勇举办两场诗词讲座。</w:t>
            </w:r>
          </w:p>
          <w:p>
            <w:pPr>
              <w:keepNext w:val="0"/>
              <w:keepLines w:val="0"/>
              <w:pageBreakBefore w:val="0"/>
              <w:widowControl w:val="0"/>
              <w:kinsoku/>
              <w:wordWrap/>
              <w:overflowPunct/>
              <w:topLinePunct w:val="0"/>
              <w:autoSpaceDE/>
              <w:autoSpaceDN w:val="0"/>
              <w:bidi w:val="0"/>
              <w:adjustRightInd/>
              <w:snapToGrid/>
              <w:spacing w:line="240" w:lineRule="exact"/>
              <w:jc w:val="left"/>
              <w:textAlignment w:val="center"/>
              <w:rPr>
                <w:rFonts w:hint="eastAsia"/>
                <w:sz w:val="21"/>
                <w:szCs w:val="21"/>
                <w:lang w:val="en-US" w:eastAsia="zh-CN"/>
              </w:rPr>
            </w:pPr>
            <w:r>
              <w:rPr>
                <w:rFonts w:hint="eastAsia" w:ascii="仿宋_GB2312" w:hAnsi="仿宋_GB2312" w:eastAsia="仿宋_GB2312" w:cs="仿宋_GB2312"/>
                <w:color w:val="000000"/>
                <w:sz w:val="18"/>
                <w:szCs w:val="18"/>
                <w:lang w:val="en-US" w:eastAsia="zh-CN"/>
              </w:rPr>
              <w:t>书画协会2022年12月30日完成换届，音乐协会2023年12月26日完成换届，2023年11月30日正式成立云溪区民间文艺家协会。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753"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eastAsia="zh-CN"/>
              </w:rPr>
              <w:t>绩效指标</w:t>
            </w:r>
          </w:p>
        </w:tc>
        <w:tc>
          <w:tcPr>
            <w:tcW w:w="780" w:type="dxa"/>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val="en-US" w:eastAsia="zh-CN"/>
              </w:rPr>
              <w:t>一级指标</w:t>
            </w:r>
          </w:p>
        </w:tc>
        <w:tc>
          <w:tcPr>
            <w:tcW w:w="945"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二级指标</w:t>
            </w:r>
          </w:p>
        </w:tc>
        <w:tc>
          <w:tcPr>
            <w:tcW w:w="147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val="en-US" w:eastAsia="zh-CN"/>
              </w:rPr>
              <w:t>三级指标</w:t>
            </w:r>
          </w:p>
        </w:tc>
        <w:tc>
          <w:tcPr>
            <w:tcW w:w="1337"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年度指标</w:t>
            </w:r>
          </w:p>
        </w:tc>
        <w:tc>
          <w:tcPr>
            <w:tcW w:w="1078"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实际完成值</w:t>
            </w:r>
          </w:p>
        </w:tc>
        <w:tc>
          <w:tcPr>
            <w:tcW w:w="748"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分值</w:t>
            </w:r>
          </w:p>
        </w:tc>
        <w:tc>
          <w:tcPr>
            <w:tcW w:w="632"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eastAsia="zh-CN"/>
              </w:rPr>
            </w:pPr>
            <w:r>
              <w:rPr>
                <w:rFonts w:hint="eastAsia" w:ascii="仿宋_GB2312" w:hAnsi="仿宋_GB2312" w:eastAsia="仿宋_GB2312" w:cs="仿宋_GB2312"/>
                <w:color w:val="000000"/>
                <w:sz w:val="18"/>
                <w:szCs w:val="18"/>
                <w:lang w:val="en-US" w:eastAsia="zh-CN"/>
              </w:rPr>
              <w:t>得分</w:t>
            </w:r>
          </w:p>
        </w:tc>
        <w:tc>
          <w:tcPr>
            <w:tcW w:w="2052" w:type="dxa"/>
            <w:gridSpan w:val="4"/>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产出目标</w:t>
            </w:r>
          </w:p>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rPr>
              <w:t>（</w:t>
            </w:r>
            <w:r>
              <w:rPr>
                <w:rFonts w:hint="eastAsia" w:ascii="仿宋_GB2312" w:hAnsi="仿宋_GB2312" w:eastAsia="仿宋_GB2312" w:cs="仿宋_GB2312"/>
                <w:color w:val="000000"/>
                <w:sz w:val="18"/>
                <w:szCs w:val="18"/>
                <w:lang w:val="en-US" w:eastAsia="zh-CN"/>
              </w:rPr>
              <w:t>50分）</w:t>
            </w: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质量指标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文艺作品合格率</w:t>
            </w: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&gt;=98%</w:t>
            </w:r>
          </w:p>
        </w:tc>
        <w:tc>
          <w:tcPr>
            <w:tcW w:w="1093" w:type="dxa"/>
            <w:gridSpan w:val="2"/>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100%</w:t>
            </w:r>
          </w:p>
        </w:tc>
        <w:tc>
          <w:tcPr>
            <w:tcW w:w="733" w:type="dxa"/>
            <w:gridSpan w:val="2"/>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10</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文艺活动成功率</w:t>
            </w: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lang w:val="en-US" w:eastAsia="zh-CN"/>
              </w:rPr>
              <w:t>&gt;=98%</w:t>
            </w: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lang w:val="en-US" w:eastAsia="zh-CN"/>
              </w:rPr>
              <w:t>100%</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10</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49"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36"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数量指标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文艺作品创作数量</w:t>
            </w: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rPr>
              <w:t>&gt;=20篇</w:t>
            </w: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52</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10</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61"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开展各类文艺活动</w:t>
            </w: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rPr>
              <w:t>&gt;=8次</w:t>
            </w: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16</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10</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61"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时效指标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各项工作完成时间</w:t>
            </w: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2023年12月31日</w:t>
            </w: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rPr>
              <w:t>2023年12月31日前</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5</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5</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86"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39"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成本指标</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不超年度预算</w:t>
            </w: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未超年度预算</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5</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5</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sz w:val="18"/>
                <w:szCs w:val="18"/>
              </w:rPr>
            </w:pP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效益目标</w:t>
            </w:r>
          </w:p>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w:t>
            </w:r>
            <w:r>
              <w:rPr>
                <w:rFonts w:hint="eastAsia" w:ascii="仿宋_GB2312" w:hAnsi="仿宋_GB2312" w:eastAsia="仿宋_GB2312" w:cs="仿宋_GB2312"/>
                <w:color w:val="000000"/>
                <w:sz w:val="18"/>
                <w:szCs w:val="18"/>
                <w:lang w:val="en-US" w:eastAsia="zh-CN"/>
              </w:rPr>
              <w:t>30分</w:t>
            </w:r>
            <w:r>
              <w:rPr>
                <w:rFonts w:hint="eastAsia" w:ascii="仿宋_GB2312" w:hAnsi="仿宋_GB2312" w:eastAsia="仿宋_GB2312" w:cs="仿宋_GB2312"/>
                <w:color w:val="000000"/>
                <w:sz w:val="18"/>
                <w:szCs w:val="18"/>
              </w:rPr>
              <w:t>）</w:t>
            </w:r>
          </w:p>
        </w:tc>
        <w:tc>
          <w:tcPr>
            <w:tcW w:w="945" w:type="dxa"/>
            <w:gridSpan w:val="2"/>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社会效益</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提升协会凝聚力</w:t>
            </w: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有效提升</w:t>
            </w: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30</w:t>
            </w: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30</w:t>
            </w: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经济效益</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54"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tcBorders>
              <w:bottom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rPr>
            </w:pPr>
          </w:p>
        </w:tc>
        <w:tc>
          <w:tcPr>
            <w:tcW w:w="945" w:type="dxa"/>
            <w:gridSpan w:val="2"/>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生态效益</w:t>
            </w:r>
          </w:p>
        </w:tc>
        <w:tc>
          <w:tcPr>
            <w:tcW w:w="1480"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442"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restart"/>
            <w:tcBorders>
              <w:top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eastAsia="zh-CN"/>
              </w:rPr>
              <w:t>满意度</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10分</w:t>
            </w:r>
            <w:r>
              <w:rPr>
                <w:rFonts w:hint="eastAsia" w:ascii="仿宋_GB2312" w:hAnsi="仿宋_GB2312" w:eastAsia="仿宋_GB2312" w:cs="仿宋_GB2312"/>
                <w:sz w:val="18"/>
                <w:szCs w:val="18"/>
                <w:lang w:eastAsia="zh-CN"/>
              </w:rPr>
              <w:t>）</w:t>
            </w:r>
          </w:p>
        </w:tc>
        <w:tc>
          <w:tcPr>
            <w:tcW w:w="945" w:type="dxa"/>
            <w:gridSpan w:val="2"/>
            <w:vMerge w:val="restart"/>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社会公众或服务对象满意度</w:t>
            </w:r>
          </w:p>
        </w:tc>
        <w:tc>
          <w:tcPr>
            <w:tcW w:w="1480" w:type="dxa"/>
            <w:gridSpan w:val="3"/>
            <w:tcBorders>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社会群众满意度</w:t>
            </w:r>
          </w:p>
        </w:tc>
        <w:tc>
          <w:tcPr>
            <w:tcW w:w="1332" w:type="dxa"/>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rPr>
            </w:pPr>
            <w:r>
              <w:rPr>
                <w:rFonts w:hint="eastAsia" w:ascii="仿宋_GB2312" w:hAnsi="仿宋_GB2312" w:eastAsia="仿宋_GB2312" w:cs="仿宋_GB2312"/>
                <w:color w:val="000000"/>
                <w:sz w:val="18"/>
                <w:szCs w:val="18"/>
                <w:lang w:val="en-US" w:eastAsia="zh-CN"/>
              </w:rPr>
              <w:t>&gt;=95%</w:t>
            </w:r>
          </w:p>
        </w:tc>
        <w:tc>
          <w:tcPr>
            <w:tcW w:w="1093" w:type="dxa"/>
            <w:gridSpan w:val="2"/>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lang w:val="en-US" w:eastAsia="zh-CN"/>
              </w:rPr>
              <w:t>98%</w:t>
            </w:r>
          </w:p>
        </w:tc>
        <w:tc>
          <w:tcPr>
            <w:tcW w:w="733" w:type="dxa"/>
            <w:gridSpan w:val="2"/>
            <w:tcBorders>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w:t>
            </w:r>
          </w:p>
        </w:tc>
        <w:tc>
          <w:tcPr>
            <w:tcW w:w="662" w:type="dxa"/>
            <w:gridSpan w:val="3"/>
            <w:tcBorders>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b/>
                <w:color w:val="000000"/>
                <w:sz w:val="18"/>
                <w:szCs w:val="18"/>
                <w:lang w:val="en-US" w:eastAsia="zh-CN"/>
              </w:rPr>
            </w:pPr>
            <w:r>
              <w:rPr>
                <w:rFonts w:hint="eastAsia" w:ascii="仿宋_GB2312" w:hAnsi="仿宋_GB2312" w:eastAsia="仿宋_GB2312" w:cs="仿宋_GB2312"/>
                <w:b/>
                <w:color w:val="000000"/>
                <w:sz w:val="18"/>
                <w:szCs w:val="18"/>
                <w:lang w:val="en-US" w:eastAsia="zh-CN"/>
              </w:rPr>
              <w:t>10</w:t>
            </w:r>
          </w:p>
        </w:tc>
        <w:tc>
          <w:tcPr>
            <w:tcW w:w="2022" w:type="dxa"/>
            <w:gridSpan w:val="3"/>
            <w:tcBorders>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388" w:hRule="atLeast"/>
          <w:jc w:val="center"/>
        </w:trPr>
        <w:tc>
          <w:tcPr>
            <w:tcW w:w="753" w:type="dxa"/>
            <w:vMerge w:val="continue"/>
            <w:noWrap w:val="0"/>
            <w:vAlign w:val="center"/>
          </w:tcPr>
          <w:p>
            <w:pPr>
              <w:keepNext w:val="0"/>
              <w:keepLines w:val="0"/>
              <w:pageBreakBefore w:val="0"/>
              <w:widowControl w:val="0"/>
              <w:kinsoku/>
              <w:wordWrap/>
              <w:overflowPunct/>
              <w:topLinePunct w:val="0"/>
              <w:autoSpaceDE/>
              <w:bidi w:val="0"/>
              <w:adjustRightInd/>
              <w:snapToGrid/>
              <w:spacing w:line="300" w:lineRule="exact"/>
              <w:rPr>
                <w:rFonts w:hint="eastAsia" w:ascii="仿宋_GB2312" w:hAnsi="仿宋_GB2312" w:eastAsia="仿宋_GB2312" w:cs="仿宋_GB2312"/>
                <w:sz w:val="18"/>
                <w:szCs w:val="18"/>
              </w:rPr>
            </w:pPr>
          </w:p>
        </w:tc>
        <w:tc>
          <w:tcPr>
            <w:tcW w:w="780" w:type="dxa"/>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rPr>
                <w:rFonts w:hint="eastAsia" w:ascii="仿宋_GB2312" w:hAnsi="仿宋_GB2312" w:eastAsia="仿宋_GB2312" w:cs="仿宋_GB2312"/>
                <w:sz w:val="18"/>
                <w:szCs w:val="18"/>
                <w:lang w:eastAsia="zh-CN"/>
              </w:rPr>
            </w:pPr>
          </w:p>
        </w:tc>
        <w:tc>
          <w:tcPr>
            <w:tcW w:w="945" w:type="dxa"/>
            <w:gridSpan w:val="2"/>
            <w:vMerge w:val="continue"/>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p>
        </w:tc>
        <w:tc>
          <w:tcPr>
            <w:tcW w:w="1480" w:type="dxa"/>
            <w:gridSpan w:val="3"/>
            <w:tcBorders>
              <w:top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332"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1093" w:type="dxa"/>
            <w:gridSpan w:val="2"/>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733" w:type="dxa"/>
            <w:gridSpan w:val="2"/>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18"/>
                <w:szCs w:val="18"/>
              </w:rPr>
            </w:pPr>
          </w:p>
        </w:tc>
        <w:tc>
          <w:tcPr>
            <w:tcW w:w="662" w:type="dxa"/>
            <w:gridSpan w:val="3"/>
            <w:tcBorders>
              <w:top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c>
          <w:tcPr>
            <w:tcW w:w="2022" w:type="dxa"/>
            <w:gridSpan w:val="3"/>
            <w:tcBorders>
              <w:top w:val="single" w:color="auto" w:sz="4" w:space="0"/>
              <w:left w:val="single" w:color="auto" w:sz="4" w:space="0"/>
            </w:tcBorders>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b/>
                <w:color w:val="000000"/>
                <w:sz w:val="18"/>
                <w:szCs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2478"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绩效自评综合得分</w:t>
            </w:r>
          </w:p>
        </w:tc>
        <w:tc>
          <w:tcPr>
            <w:tcW w:w="7322" w:type="dxa"/>
            <w:gridSpan w:val="1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2478"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rPr>
            </w:pPr>
            <w:r>
              <w:rPr>
                <w:rFonts w:hint="eastAsia" w:ascii="仿宋_GB2312" w:hAnsi="仿宋_GB2312" w:eastAsia="仿宋_GB2312" w:cs="仿宋_GB2312"/>
                <w:color w:val="000000"/>
                <w:sz w:val="18"/>
                <w:szCs w:val="18"/>
              </w:rPr>
              <w:t>评价等次</w:t>
            </w:r>
          </w:p>
        </w:tc>
        <w:tc>
          <w:tcPr>
            <w:tcW w:w="7322" w:type="dxa"/>
            <w:gridSpan w:val="1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18"/>
                <w:szCs w:val="18"/>
                <w:lang w:val="en-US" w:eastAsia="zh-CN"/>
              </w:rPr>
            </w:pPr>
            <w:r>
              <w:rPr>
                <w:rFonts w:hint="eastAsia" w:ascii="仿宋_GB2312" w:hAnsi="仿宋_GB2312" w:eastAsia="仿宋_GB2312" w:cs="仿宋_GB2312"/>
                <w:color w:val="000000"/>
                <w:sz w:val="18"/>
                <w:szCs w:val="18"/>
                <w:lang w:val="en-US" w:eastAsia="zh-CN"/>
              </w:rPr>
              <w:t>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9800" w:type="dxa"/>
            <w:gridSpan w:val="18"/>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636"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0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丁卫</w:t>
            </w:r>
          </w:p>
        </w:tc>
        <w:tc>
          <w:tcPr>
            <w:tcW w:w="3636"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区文联</w:t>
            </w:r>
            <w:r>
              <w:rPr>
                <w:rFonts w:hint="eastAsia" w:ascii="仿宋_GB2312" w:hAnsi="仿宋_GB2312" w:eastAsia="仿宋_GB2312" w:cs="仿宋_GB2312"/>
                <w:color w:val="000000"/>
                <w:sz w:val="24"/>
              </w:rPr>
              <w:t>党组书记、主席</w:t>
            </w:r>
          </w:p>
        </w:tc>
        <w:tc>
          <w:tcPr>
            <w:tcW w:w="140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区文联</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陈自勇</w:t>
            </w:r>
          </w:p>
        </w:tc>
        <w:tc>
          <w:tcPr>
            <w:tcW w:w="3636"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区文联</w:t>
            </w:r>
            <w:r>
              <w:rPr>
                <w:rFonts w:hint="eastAsia" w:ascii="仿宋_GB2312" w:hAnsi="仿宋_GB2312" w:eastAsia="仿宋_GB2312" w:cs="仿宋_GB2312"/>
                <w:color w:val="000000"/>
                <w:sz w:val="24"/>
              </w:rPr>
              <w:t>党组成员、副主席</w:t>
            </w:r>
          </w:p>
        </w:tc>
        <w:tc>
          <w:tcPr>
            <w:tcW w:w="140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区文联</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王奕慧</w:t>
            </w:r>
          </w:p>
        </w:tc>
        <w:tc>
          <w:tcPr>
            <w:tcW w:w="3636"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lang w:val="en-US" w:eastAsia="zh-CN"/>
              </w:rPr>
              <w:t>二级主任科员</w:t>
            </w:r>
          </w:p>
        </w:tc>
        <w:tc>
          <w:tcPr>
            <w:tcW w:w="140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lang w:val="en-US" w:eastAsia="zh-CN"/>
              </w:rPr>
              <w:t>区文联</w:t>
            </w: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636" w:type="dxa"/>
            <w:gridSpan w:val="5"/>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04" w:type="dxa"/>
            <w:gridSpan w:val="3"/>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gridSpan w:val="7"/>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18"/>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18"/>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18"/>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keepNext w:val="0"/>
        <w:keepLines w:val="0"/>
        <w:pageBreakBefore w:val="0"/>
        <w:kinsoku/>
        <w:overflowPunct/>
        <w:topLinePunct w:val="0"/>
        <w:autoSpaceDE/>
        <w:bidi w:val="0"/>
        <w:spacing w:line="560" w:lineRule="exact"/>
        <w:rPr>
          <w:rFonts w:hint="eastAsia" w:eastAsia="仿宋_GB2312" w:cs="仿宋_GB2312"/>
          <w:bCs/>
          <w:sz w:val="28"/>
          <w:szCs w:val="28"/>
        </w:rPr>
      </w:pPr>
      <w:r>
        <w:rPr>
          <w:rFonts w:hint="eastAsia" w:eastAsia="仿宋_GB2312" w:cs="仿宋_GB2312"/>
          <w:bCs/>
          <w:sz w:val="28"/>
          <w:szCs w:val="28"/>
        </w:rPr>
        <w:t>填报人（签名）：                          联系电话：</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8" w:hRule="atLeast"/>
          <w:jc w:val="center"/>
        </w:trPr>
        <w:tc>
          <w:tcPr>
            <w:tcW w:w="9558" w:type="dxa"/>
            <w:noWrap w:val="0"/>
            <w:vAlign w:val="top"/>
          </w:tcPr>
          <w:p>
            <w:pPr>
              <w:keepNext w:val="0"/>
              <w:keepLines w:val="0"/>
              <w:pageBreakBefore w:val="0"/>
              <w:kinsoku/>
              <w:overflowPunct/>
              <w:topLinePunct w:val="0"/>
              <w:autoSpaceDE/>
              <w:bidi w:val="0"/>
              <w:spacing w:line="560" w:lineRule="exact"/>
              <w:jc w:val="center"/>
              <w:rPr>
                <w:rFonts w:hint="eastAsia" w:eastAsia="仿宋_GB2312"/>
                <w:sz w:val="32"/>
                <w:szCs w:val="32"/>
              </w:rPr>
            </w:pPr>
            <w:r>
              <w:rPr>
                <w:rFonts w:hint="eastAsia" w:ascii="黑体" w:hAnsi="黑体" w:eastAsia="黑体" w:cs="黑体"/>
                <w:bCs/>
                <w:sz w:val="28"/>
                <w:szCs w:val="28"/>
              </w:rPr>
              <w:t>五、评价报告综述</w:t>
            </w:r>
          </w:p>
          <w:p>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rPr>
            </w:pPr>
            <w:r>
              <w:rPr>
                <w:rFonts w:hint="eastAsia" w:ascii="黑体" w:hAnsi="黑体" w:eastAsia="黑体" w:cs="黑体"/>
                <w:bCs/>
                <w:sz w:val="24"/>
                <w:szCs w:val="24"/>
              </w:rPr>
              <w:t>一、部门（单位）概况</w:t>
            </w:r>
          </w:p>
          <w:p>
            <w:pPr>
              <w:spacing w:line="480" w:lineRule="exact"/>
              <w:ind w:firstLine="480" w:firstLineChars="200"/>
              <w:rPr>
                <w:rFonts w:hint="default"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（一）</w:t>
            </w:r>
            <w:r>
              <w:rPr>
                <w:rFonts w:hint="default" w:ascii="仿宋_GB2312" w:hAnsi="仿宋_GB2312" w:eastAsia="仿宋_GB2312" w:cs="仿宋_GB2312"/>
                <w:color w:val="000000"/>
                <w:sz w:val="24"/>
                <w:rtl w:val="0"/>
                <w:lang w:val="en-US" w:eastAsia="zh-CN"/>
              </w:rPr>
              <w:t>主要职能</w:t>
            </w:r>
          </w:p>
          <w:p>
            <w:pPr>
              <w:spacing w:line="480" w:lineRule="exact"/>
              <w:ind w:firstLine="480" w:firstLineChars="200"/>
              <w:rPr>
                <w:rFonts w:hint="eastAsia"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rPr>
              <w:t>1、贯彻落实党的文艺工作方针和文艺政策，开展对区级文学艺术家协会、镇文联的联络、协调、指导、服务工作；2、负责主办区本级文艺刊物，反应我区文化建设的各项成果；3、组织召开全区文学艺术界代表大会、区文联委员会和主席团会议，组织全体团员开展文艺创作、文艺评论、学术交流、人才培训和调研工作；4、负责对区属文学协会和镇、行业文艺界社会进行业务指导，维护文艺社团和文学艺术家知识产权等正当权益。</w:t>
            </w:r>
            <w:r>
              <w:rPr>
                <w:rFonts w:hint="eastAsia" w:ascii="仿宋_GB2312" w:hAnsi="仿宋_GB2312" w:eastAsia="仿宋_GB2312" w:cs="仿宋_GB2312"/>
                <w:color w:val="000000"/>
                <w:sz w:val="24"/>
                <w:lang w:val="en-US" w:eastAsia="zh-CN"/>
              </w:rPr>
              <w:t xml:space="preserve">  </w:t>
            </w:r>
          </w:p>
          <w:p>
            <w:pPr>
              <w:spacing w:line="480" w:lineRule="exact"/>
              <w:ind w:firstLine="480" w:firstLineChars="200"/>
              <w:rPr>
                <w:rFonts w:hint="default"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（二）</w:t>
            </w:r>
            <w:r>
              <w:rPr>
                <w:rFonts w:hint="default" w:ascii="仿宋_GB2312" w:hAnsi="仿宋_GB2312" w:eastAsia="仿宋_GB2312" w:cs="仿宋_GB2312"/>
                <w:color w:val="000000"/>
                <w:sz w:val="24"/>
                <w:rtl w:val="0"/>
                <w:lang w:val="en-US" w:eastAsia="zh-CN"/>
              </w:rPr>
              <w:t>机构设置</w:t>
            </w:r>
          </w:p>
          <w:p>
            <w:pPr>
              <w:spacing w:line="480" w:lineRule="exact"/>
              <w:ind w:firstLine="480" w:firstLineChars="200"/>
              <w:rPr>
                <w:rFonts w:hint="default" w:ascii="仿宋_GB2312" w:hAnsi="仿宋_GB2312" w:eastAsia="仿宋_GB2312" w:cs="仿宋_GB2312"/>
                <w:color w:val="000000"/>
                <w:sz w:val="24"/>
                <w:lang w:val="en-US" w:eastAsia="zh-CN"/>
              </w:rPr>
            </w:pPr>
            <w:r>
              <w:rPr>
                <w:rFonts w:hint="eastAsia" w:ascii="仿宋_GB2312" w:hAnsi="仿宋_GB2312" w:eastAsia="仿宋_GB2312" w:cs="仿宋_GB2312"/>
                <w:color w:val="000000"/>
                <w:sz w:val="24"/>
              </w:rPr>
              <w:t>岳阳市云溪区文学艺术界联合会</w:t>
            </w:r>
            <w:r>
              <w:rPr>
                <w:rFonts w:hint="eastAsia" w:ascii="仿宋_GB2312" w:hAnsi="仿宋_GB2312" w:eastAsia="仿宋_GB2312" w:cs="仿宋_GB2312"/>
                <w:color w:val="000000"/>
                <w:sz w:val="24"/>
                <w:lang w:val="en-US" w:eastAsia="zh-CN"/>
              </w:rPr>
              <w:t>为区财政全额拨款事业单位，2023年单位人员编制3人，实有人数3人。</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rPr>
            </w:pPr>
            <w:r>
              <w:rPr>
                <w:rFonts w:hint="eastAsia" w:ascii="黑体" w:hAnsi="黑体" w:eastAsia="黑体" w:cs="黑体"/>
                <w:bCs/>
                <w:sz w:val="24"/>
                <w:szCs w:val="24"/>
                <w:lang w:val="en-US" w:eastAsia="zh-CN"/>
              </w:rPr>
              <w:t>二、一般公共预算支出情况</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（一）基本支出</w:t>
            </w:r>
            <w:r>
              <w:rPr>
                <w:rFonts w:hint="eastAsia" w:ascii="宋体" w:hAnsi="宋体" w:eastAsia="宋体" w:cs="宋体"/>
                <w:bCs/>
                <w:sz w:val="24"/>
                <w:szCs w:val="24"/>
                <w:lang w:eastAsia="zh-CN"/>
              </w:rPr>
              <w:t>情况</w:t>
            </w:r>
          </w:p>
          <w:p>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2023年基本支出89.4万元，其中人员经费42.2万元，主要包括基本工资、津贴补贴、绩效工资、社会保险、住房公积金等工资福利支出；公用经费46.56万元，主要包括办公费、印刷费、水电费、邮电费、劳务费、委托业务费、工会经费、其他交通费用等商品和服务支出；资本性支出0.66万元，主要为办公设备购置。</w:t>
            </w:r>
          </w:p>
          <w:p>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（二）</w:t>
            </w:r>
            <w:r>
              <w:rPr>
                <w:rFonts w:hint="eastAsia" w:ascii="宋体" w:hAnsi="宋体" w:eastAsia="宋体" w:cs="宋体"/>
                <w:bCs/>
                <w:sz w:val="24"/>
                <w:szCs w:val="24"/>
                <w:lang w:eastAsia="zh-CN"/>
              </w:rPr>
              <w:t>项目</w:t>
            </w:r>
            <w:r>
              <w:rPr>
                <w:rFonts w:hint="eastAsia" w:ascii="宋体" w:hAnsi="宋体" w:eastAsia="宋体" w:cs="宋体"/>
                <w:bCs/>
                <w:sz w:val="24"/>
                <w:szCs w:val="24"/>
              </w:rPr>
              <w:t>支出</w:t>
            </w:r>
            <w:r>
              <w:rPr>
                <w:rFonts w:hint="eastAsia" w:ascii="宋体" w:hAnsi="宋体" w:eastAsia="宋体" w:cs="宋体"/>
                <w:bCs/>
                <w:sz w:val="24"/>
                <w:szCs w:val="24"/>
                <w:lang w:eastAsia="zh-CN"/>
              </w:rPr>
              <w:t>情况</w:t>
            </w:r>
          </w:p>
          <w:p>
            <w:pPr>
              <w:spacing w:line="480" w:lineRule="exact"/>
              <w:ind w:firstLine="480" w:firstLineChars="200"/>
              <w:rPr>
                <w:rFonts w:hint="default"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2023年项目支出14.2万元，其中包括工作经费7.2万元，主要用于组织各类文学艺术所需的各项工作经费；文化艺术协会经费7万元，主要用于下拨协会，支持协会工作。</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lang w:val="en-US" w:eastAsia="zh-CN"/>
              </w:rPr>
            </w:pPr>
            <w:r>
              <w:rPr>
                <w:rFonts w:hint="eastAsia" w:ascii="黑体" w:hAnsi="黑体" w:eastAsia="黑体" w:cs="黑体"/>
                <w:bCs/>
                <w:kern w:val="2"/>
                <w:sz w:val="24"/>
                <w:szCs w:val="24"/>
                <w:lang w:val="en-US" w:eastAsia="zh-CN" w:bidi="ar-SA"/>
              </w:rPr>
              <w:t>三、</w:t>
            </w:r>
            <w:r>
              <w:rPr>
                <w:rFonts w:hint="eastAsia" w:ascii="黑体" w:hAnsi="黑体" w:eastAsia="黑体" w:cs="黑体"/>
                <w:bCs/>
                <w:sz w:val="24"/>
                <w:szCs w:val="24"/>
                <w:lang w:val="en-US" w:eastAsia="zh-CN"/>
              </w:rPr>
              <w:t>政府性基金预算支出情况</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lang w:val="en-US" w:eastAsia="zh-CN"/>
              </w:rPr>
            </w:pPr>
            <w:r>
              <w:rPr>
                <w:rFonts w:hint="eastAsia" w:ascii="仿宋_GB2312" w:hAnsi="仿宋_GB2312" w:eastAsia="仿宋_GB2312" w:cs="仿宋_GB2312"/>
                <w:color w:val="000000"/>
                <w:sz w:val="24"/>
                <w:rtl w:val="0"/>
                <w:lang w:val="en-US" w:eastAsia="zh-CN"/>
              </w:rPr>
              <w:t>2023年无政府性基金预算支出。</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lang w:val="en-US" w:eastAsia="zh-CN"/>
              </w:rPr>
            </w:pPr>
            <w:r>
              <w:rPr>
                <w:rFonts w:hint="eastAsia" w:ascii="黑体" w:hAnsi="黑体" w:eastAsia="黑体" w:cs="黑体"/>
                <w:bCs/>
                <w:kern w:val="2"/>
                <w:sz w:val="24"/>
                <w:szCs w:val="24"/>
                <w:lang w:val="en-US" w:eastAsia="zh-CN" w:bidi="ar-SA"/>
              </w:rPr>
              <w:t>四、</w:t>
            </w:r>
            <w:r>
              <w:rPr>
                <w:rFonts w:hint="eastAsia" w:ascii="黑体" w:hAnsi="黑体" w:eastAsia="黑体" w:cs="黑体"/>
                <w:bCs/>
                <w:sz w:val="24"/>
                <w:szCs w:val="24"/>
                <w:lang w:val="en-US" w:eastAsia="zh-CN"/>
              </w:rPr>
              <w:t>国有资本经营预算支出情况</w:t>
            </w:r>
          </w:p>
          <w:p>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default" w:ascii="黑体" w:hAnsi="黑体" w:eastAsia="黑体" w:cs="黑体"/>
                <w:bCs/>
                <w:sz w:val="24"/>
                <w:szCs w:val="24"/>
                <w:lang w:val="en-US" w:eastAsia="zh-CN"/>
              </w:rPr>
            </w:pPr>
            <w:r>
              <w:rPr>
                <w:rFonts w:hint="eastAsia" w:ascii="黑体" w:hAnsi="黑体" w:eastAsia="黑体" w:cs="黑体"/>
                <w:bCs/>
                <w:sz w:val="24"/>
                <w:szCs w:val="24"/>
                <w:lang w:val="en-US" w:eastAsia="zh-CN"/>
              </w:rPr>
              <w:t xml:space="preserve">    </w:t>
            </w:r>
            <w:r>
              <w:rPr>
                <w:rFonts w:hint="eastAsia" w:ascii="仿宋_GB2312" w:hAnsi="仿宋_GB2312" w:eastAsia="仿宋_GB2312" w:cs="仿宋_GB2312"/>
                <w:color w:val="000000"/>
                <w:sz w:val="24"/>
                <w:rtl w:val="0"/>
                <w:lang w:val="en-US" w:eastAsia="zh-CN"/>
              </w:rPr>
              <w:t>2023年无国有资本经营预算支出。</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lang w:val="en-US" w:eastAsia="zh-CN"/>
              </w:rPr>
            </w:pPr>
            <w:r>
              <w:rPr>
                <w:rFonts w:hint="eastAsia" w:ascii="黑体" w:hAnsi="黑体" w:eastAsia="黑体" w:cs="黑体"/>
                <w:bCs/>
                <w:kern w:val="2"/>
                <w:sz w:val="24"/>
                <w:szCs w:val="24"/>
                <w:lang w:val="en-US" w:eastAsia="zh-CN" w:bidi="ar-SA"/>
              </w:rPr>
              <w:t>五、</w:t>
            </w:r>
            <w:r>
              <w:rPr>
                <w:rFonts w:hint="eastAsia" w:ascii="黑体" w:hAnsi="黑体" w:eastAsia="黑体" w:cs="黑体"/>
                <w:bCs/>
                <w:sz w:val="24"/>
                <w:szCs w:val="24"/>
                <w:lang w:val="en-US" w:eastAsia="zh-CN"/>
              </w:rPr>
              <w:t>社会保险基金预算支出情况</w:t>
            </w:r>
          </w:p>
          <w:p>
            <w:pPr>
              <w:spacing w:line="480" w:lineRule="exact"/>
              <w:ind w:firstLine="480" w:firstLineChars="200"/>
              <w:rPr>
                <w:rFonts w:hint="default" w:ascii="黑体" w:hAnsi="黑体" w:eastAsia="黑体" w:cs="黑体"/>
                <w:bCs/>
                <w:sz w:val="24"/>
                <w:szCs w:val="24"/>
                <w:lang w:val="en-US" w:eastAsia="zh-CN"/>
              </w:rPr>
            </w:pPr>
            <w:r>
              <w:rPr>
                <w:rFonts w:hint="eastAsia" w:ascii="仿宋_GB2312" w:hAnsi="仿宋_GB2312" w:eastAsia="仿宋_GB2312" w:cs="仿宋_GB2312"/>
                <w:color w:val="000000"/>
                <w:sz w:val="24"/>
                <w:rtl w:val="0"/>
                <w:lang w:val="en-US" w:eastAsia="zh-CN"/>
              </w:rPr>
              <w:t>2023年无社会保险基金预算支出。</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黑体" w:hAnsi="黑体" w:eastAsia="黑体" w:cs="黑体"/>
                <w:bCs/>
                <w:sz w:val="24"/>
                <w:szCs w:val="24"/>
                <w:lang w:val="en-US" w:eastAsia="zh-CN"/>
              </w:rPr>
            </w:pPr>
            <w:r>
              <w:rPr>
                <w:rFonts w:hint="eastAsia" w:ascii="黑体" w:hAnsi="黑体" w:eastAsia="黑体" w:cs="黑体"/>
                <w:bCs/>
                <w:sz w:val="24"/>
                <w:szCs w:val="24"/>
                <w:lang w:val="en-US" w:eastAsia="zh-CN"/>
              </w:rPr>
              <w:t>六、部门整体支出绩效情况</w:t>
            </w:r>
          </w:p>
          <w:p>
            <w:pPr>
              <w:spacing w:line="480" w:lineRule="exact"/>
              <w:ind w:firstLine="480" w:firstLineChars="200"/>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区文联领导班子在区委区政府的领导和市文联的指导下，以学习贯彻二十大精神为指引，坚持以大局为重，提高政治站位，筑牢政治基石，强化政治担当，以活动提升活力，以激励增加动力，以服务中心传播正能量，以部门联动扩大影响力，自始至终围绕服务中心，服务大局，服务发展，扎实开展文联工作，制度建设、组织建设、队伍建设得到进一步加强。</w:t>
            </w:r>
          </w:p>
          <w:p>
            <w:pPr>
              <w:spacing w:line="480" w:lineRule="exact"/>
              <w:ind w:firstLine="480" w:firstLineChars="200"/>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（一）预算配置。2023年预算编制数为3人，实际在职人数3人，在职人员控制率为100%；2022年“三公支出”预算0.5万元，实际支出0.5万元，未超年度预算。</w:t>
            </w:r>
          </w:p>
          <w:p>
            <w:pPr>
              <w:spacing w:line="480" w:lineRule="exact"/>
              <w:ind w:firstLine="480" w:firstLineChars="200"/>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（二）预算执行。2023年我单位收入103.6万元，其中一般公共预算财政拨款收入64.76万元，其他收入38.84万元，当年实际支出103.6万元，年末结转结余0万元，预算执行率为100%。</w:t>
            </w:r>
          </w:p>
          <w:p>
            <w:pPr>
              <w:spacing w:line="480" w:lineRule="exact"/>
              <w:ind w:firstLine="480" w:firstLineChars="200"/>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三）预算管理。为进一步完善了财务管理制度，明确责权关系，确保经费预算体系的有序运行，使预算活动得到有效规范。在经费预算编制、执行中的责任部门和人员也增强了法纪观念，树立预算就是法规的意识，坚持实事求是的原则，认真编制和审核经费预算，压缩不合理的支出项目，减少经费预算“水分”，提高了经费预算的科学性和准确性；同时按照财政要求，对单位预决算信息完整及时公开。</w:t>
            </w:r>
          </w:p>
          <w:p>
            <w:pPr>
              <w:spacing w:line="480" w:lineRule="exact"/>
              <w:ind w:firstLine="480" w:firstLineChars="200"/>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（四）资产管理。2023年对单位的资产、配置及处置均严格按照《行政事业单位国有资产管理办法》相关规定程序进行管理，充分发挥国有资产使用效率，确保国有资产安全完整。</w:t>
            </w:r>
          </w:p>
          <w:p>
            <w:pPr>
              <w:pStyle w:val="8"/>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五）职责履行和效益。（1）加强党建引领，改善协会队伍建设。抓协会关键在于抓队伍，坚持输入新鲜血液，配优协会骨干力量。2023年文联党组对作协、摄影、书画三个协会班子进行了重新遴选配备。加强对摄影、作家、书画、诗联，音乐和舞蹈等协会班子的改善和优化，共调整新增力量6名协会骨干。通过配优配强协会班子，增加新生力量，加强纵向联系，文联的活动开展更有号召力。（2）强化意识形态，坚守文联舆情阵地。强化各个协会意识形态责任，要求各自管好阵地，管好公众号，管好微信群。目前各协会有大小微信群12个，加强微信群舆情管控，是确保减少网络舆情的有效措施；强化《云山溪水》微信公众号监管，今年共围绕宣传云溪山水、风土人情、乡村振兴、产业兴区与典型人物等，受到区内外读者广泛关注，确保了无一起网络舆情发生。（3）抓牢文艺传播，扎实开展文艺活动。积极组织各协会围绕二十大，先后开展各类文艺活动。（4）突出文化引领，创作优秀文艺作品。区文联突出文化引领，鼓励各协会创作优秀文艺作品。</w:t>
            </w:r>
          </w:p>
          <w:p>
            <w:pPr>
              <w:pStyle w:val="8"/>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黑体" w:hAnsi="黑体" w:eastAsia="黑体" w:cs="黑体"/>
                <w:sz w:val="24"/>
                <w:szCs w:val="24"/>
              </w:rPr>
            </w:pPr>
            <w:r>
              <w:rPr>
                <w:rFonts w:hint="eastAsia" w:ascii="黑体" w:hAnsi="黑体" w:eastAsia="黑体" w:cs="黑体"/>
                <w:sz w:val="24"/>
                <w:szCs w:val="24"/>
              </w:rPr>
              <w:t>七、存在的问题及原因分析</w:t>
            </w:r>
          </w:p>
          <w:p>
            <w:pPr>
              <w:spacing w:line="480" w:lineRule="exact"/>
              <w:ind w:firstLine="480" w:firstLineChars="200"/>
              <w:rPr>
                <w:rFonts w:hint="eastAsia" w:ascii="仿宋_GB2312" w:hAnsi="仿宋_GB2312" w:eastAsia="仿宋_GB2312" w:cs="仿宋_GB2312"/>
                <w:color w:val="000000"/>
                <w:sz w:val="24"/>
                <w:rtl w:val="0"/>
                <w:lang w:val="en-US" w:eastAsia="zh-CN"/>
              </w:rPr>
            </w:pPr>
            <w:r>
              <w:rPr>
                <w:rFonts w:hint="eastAsia" w:ascii="仿宋_GB2312" w:hAnsi="仿宋_GB2312" w:eastAsia="仿宋_GB2312" w:cs="仿宋_GB2312"/>
                <w:color w:val="000000"/>
                <w:sz w:val="24"/>
                <w:rtl w:val="0"/>
                <w:lang w:val="en-US" w:eastAsia="zh-CN"/>
              </w:rPr>
              <w:t>预算调整率偏大。年初预算为62.1万元，全年预算数为103.6万元，预算调整率为66.82%。主要是当年年中收到了其他各单位转来的文艺创作和活动经费，该部分资金年初无法准确列入预算，使得当年预算调整率较大。</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firstLine="480" w:firstLineChars="200"/>
              <w:jc w:val="left"/>
              <w:textAlignment w:val="auto"/>
              <w:rPr>
                <w:rFonts w:hint="eastAsia" w:ascii="黑体" w:hAnsi="黑体" w:eastAsia="黑体" w:cs="黑体"/>
                <w:sz w:val="24"/>
                <w:szCs w:val="24"/>
              </w:rPr>
            </w:pPr>
            <w:r>
              <w:rPr>
                <w:rFonts w:hint="eastAsia" w:ascii="黑体" w:hAnsi="黑体" w:eastAsia="黑体" w:cs="黑体"/>
                <w:sz w:val="24"/>
                <w:szCs w:val="24"/>
              </w:rPr>
              <w:t>下一步改进措施</w:t>
            </w:r>
          </w:p>
          <w:p>
            <w:pPr>
              <w:spacing w:line="480" w:lineRule="exact"/>
              <w:ind w:firstLine="480" w:firstLineChars="200"/>
              <w:rPr>
                <w:rFonts w:hint="eastAsia" w:ascii="黑体" w:hAnsi="黑体" w:eastAsia="黑体" w:cs="黑体"/>
                <w:sz w:val="24"/>
                <w:szCs w:val="24"/>
              </w:rPr>
            </w:pPr>
            <w:r>
              <w:rPr>
                <w:rFonts w:hint="eastAsia" w:ascii="仿宋_GB2312" w:hAnsi="仿宋_GB2312" w:eastAsia="仿宋_GB2312" w:cs="仿宋_GB2312"/>
                <w:color w:val="000000"/>
                <w:sz w:val="24"/>
                <w:rtl w:val="0"/>
                <w:lang w:val="en-US" w:eastAsia="zh-CN"/>
              </w:rPr>
              <w:t>进一步加强预算编制，减少预算调整率。进一步提高预算管理水平，加强预算编制。在预算编制过程中，应尽量提前测算其他收入，并编入预算中，以提高预算收入支出的准确性，减少预算调整率。</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黑体" w:hAnsi="黑体" w:eastAsia="黑体" w:cs="黑体"/>
                <w:sz w:val="24"/>
                <w:szCs w:val="24"/>
              </w:rPr>
            </w:pPr>
            <w:r>
              <w:rPr>
                <w:rFonts w:hint="eastAsia" w:ascii="黑体" w:hAnsi="黑体" w:eastAsia="黑体" w:cs="黑体"/>
                <w:sz w:val="24"/>
                <w:szCs w:val="24"/>
              </w:rPr>
              <w:t>其他需要说明的情况</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ind w:leftChars="200"/>
              <w:jc w:val="left"/>
              <w:textAlignment w:val="auto"/>
              <w:rPr>
                <w:rFonts w:hint="default" w:ascii="黑体" w:hAnsi="黑体" w:eastAsia="黑体" w:cs="黑体"/>
                <w:sz w:val="24"/>
                <w:szCs w:val="24"/>
                <w:lang w:val="en-US" w:eastAsia="zh-CN"/>
              </w:rPr>
            </w:pPr>
            <w:r>
              <w:rPr>
                <w:rFonts w:hint="eastAsia" w:ascii="仿宋_GB2312" w:hAnsi="仿宋_GB2312" w:eastAsia="仿宋_GB2312" w:cs="仿宋_GB2312"/>
                <w:color w:val="000000"/>
                <w:sz w:val="24"/>
                <w:rtl w:val="0"/>
                <w:lang w:val="en-US" w:eastAsia="zh-CN"/>
              </w:rPr>
              <w:t>无其他需要说明的情况。</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6"/>
        <w:sz w:val="24"/>
        <w:szCs w:val="24"/>
      </w:rPr>
    </w:pPr>
    <w:r>
      <w:rPr>
        <w:rStyle w:val="6"/>
        <w:rFonts w:hint="eastAsia"/>
        <w:sz w:val="24"/>
        <w:szCs w:val="24"/>
      </w:rPr>
      <w:t xml:space="preserve">— </w:t>
    </w:r>
    <w:r>
      <w:rPr>
        <w:sz w:val="24"/>
        <w:szCs w:val="24"/>
      </w:rPr>
      <w:fldChar w:fldCharType="begin"/>
    </w:r>
    <w:r>
      <w:rPr>
        <w:rStyle w:val="6"/>
        <w:sz w:val="24"/>
        <w:szCs w:val="24"/>
      </w:rPr>
      <w:instrText xml:space="preserve">PAGE  </w:instrText>
    </w:r>
    <w:r>
      <w:rPr>
        <w:sz w:val="24"/>
        <w:szCs w:val="24"/>
      </w:rPr>
      <w:fldChar w:fldCharType="separate"/>
    </w:r>
    <w:r>
      <w:rPr>
        <w:rStyle w:val="6"/>
        <w:sz w:val="24"/>
        <w:szCs w:val="24"/>
      </w:rPr>
      <w:t>2</w:t>
    </w:r>
    <w:r>
      <w:rPr>
        <w:sz w:val="24"/>
        <w:szCs w:val="24"/>
      </w:rPr>
      <w:fldChar w:fldCharType="end"/>
    </w:r>
    <w:r>
      <w:rPr>
        <w:rStyle w:val="6"/>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E70369"/>
    <w:multiLevelType w:val="singleLevel"/>
    <w:tmpl w:val="E7E70369"/>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zMWRhYzgxNzJkN2Q0YjQwOTQzYzgwYjFlYzc3MGYifQ=="/>
  </w:docVars>
  <w:rsids>
    <w:rsidRoot w:val="01FA6D62"/>
    <w:rsid w:val="01FA6D62"/>
    <w:rsid w:val="601B2D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kern w:val="0"/>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page number"/>
    <w:autoRedefine/>
    <w:qFormat/>
    <w:uiPriority w:val="0"/>
  </w:style>
  <w:style w:type="paragraph" w:customStyle="1" w:styleId="7">
    <w:name w:val="BodyText1I"/>
    <w:basedOn w:val="1"/>
    <w:autoRedefine/>
    <w:qFormat/>
    <w:uiPriority w:val="99"/>
    <w:pPr>
      <w:snapToGrid w:val="0"/>
      <w:spacing w:line="360" w:lineRule="auto"/>
      <w:ind w:firstLine="420" w:firstLineChars="100"/>
    </w:pPr>
    <w:rPr>
      <w:sz w:val="28"/>
      <w:szCs w:val="20"/>
    </w:rPr>
  </w:style>
  <w:style w:type="paragraph" w:styleId="8">
    <w:name w:val="List Paragraph"/>
    <w:basedOn w:val="1"/>
    <w:autoRedefine/>
    <w:qFormat/>
    <w:uiPriority w:val="99"/>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2024-07-12T06:34:00Z</dcterms:created>
  <dc:creator>杨渊</dc:creator>
  <cp:lastModifiedBy>杨渊</cp:lastModifiedBy>
  <dcterms:modified xsi:type="dcterms:W3CDTF">2024-07-15T02:48:52Z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CC7289BCC68145A29681F9A177B21B49_11</vt:lpwstr>
  </property>
</Properties>
</file>