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outlineLvl w:val="9"/>
        <w:rPr>
          <w:rFonts w:hint="default"/>
          <w:lang w:val="en-US" w:eastAsia="zh-CN"/>
        </w:rPr>
      </w:pPr>
      <w:r>
        <w:rPr>
          <w:rFonts w:hint="eastAsia"/>
          <w:lang w:val="en-US" w:eastAsia="zh-CN"/>
        </w:rPr>
        <w:t>附件2</w:t>
      </w:r>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部门整体支出绩效评价基础数据表</w:t>
      </w:r>
    </w:p>
    <w:p>
      <w:pPr>
        <w:widowControl/>
        <w:tabs>
          <w:tab w:val="left" w:pos="3611"/>
          <w:tab w:val="left" w:pos="4791"/>
          <w:tab w:val="left" w:pos="5951"/>
          <w:tab w:val="left" w:pos="7071"/>
          <w:tab w:val="left" w:pos="8191"/>
          <w:tab w:val="left" w:pos="9311"/>
        </w:tabs>
        <w:ind w:left="91"/>
        <w:jc w:val="left"/>
        <w:rPr>
          <w:rFonts w:hint="eastAsia" w:eastAsia="仿宋_GB2312"/>
          <w:kern w:val="0"/>
          <w:sz w:val="24"/>
          <w:lang w:val="en-US" w:eastAsia="zh-CN"/>
        </w:rPr>
      </w:pPr>
      <w:r>
        <w:rPr>
          <w:rFonts w:hint="eastAsia" w:eastAsia="仿宋_GB2312"/>
          <w:kern w:val="0"/>
          <w:sz w:val="24"/>
          <w:lang w:val="en-US" w:eastAsia="zh-CN"/>
        </w:rPr>
        <w:t xml:space="preserve">填报单位：中共岳阳市云溪区委党史研究室                                   </w:t>
      </w:r>
    </w:p>
    <w:tbl>
      <w:tblPr>
        <w:tblStyle w:val="7"/>
        <w:tblW w:w="5425" w:type="pct"/>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3226"/>
        <w:gridCol w:w="792"/>
        <w:gridCol w:w="1222"/>
        <w:gridCol w:w="925"/>
        <w:gridCol w:w="1325"/>
        <w:gridCol w:w="976"/>
        <w:gridCol w:w="1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trPr>
        <w:tc>
          <w:tcPr>
            <w:tcW w:w="166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财政供养人员情况</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编制数</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2023年实际在职人数</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4" w:hRule="atLeast"/>
        </w:trPr>
        <w:tc>
          <w:tcPr>
            <w:tcW w:w="1661"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36"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经费控制情况(万元)</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2022年决算数</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2023年预算数</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2023年决算数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三公经费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1.42</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1.07</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1、公务用车购置和维护经费</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其中：公车购置</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公车运行维护</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2、出国经费</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3、公务接待</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1.42</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1.07</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项目支出：</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1、业务工作经费</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2、运行维护经费</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4" w:hRule="atLeast"/>
        </w:trPr>
        <w:tc>
          <w:tcPr>
            <w:tcW w:w="166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right="0" w:right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3、本级专项资金（一个专项一行）</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3226" w:type="dxa"/>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《云溪年鉴》编印</w:t>
            </w:r>
          </w:p>
        </w:tc>
        <w:tc>
          <w:tcPr>
            <w:tcW w:w="2014" w:type="dxa"/>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3226" w:type="dxa"/>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《今古云溪》经费</w:t>
            </w:r>
          </w:p>
        </w:tc>
        <w:tc>
          <w:tcPr>
            <w:tcW w:w="2014" w:type="dxa"/>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9.57</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9.57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3226" w:type="dxa"/>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档案馆基础设施维护</w:t>
            </w:r>
          </w:p>
        </w:tc>
        <w:tc>
          <w:tcPr>
            <w:tcW w:w="2014" w:type="dxa"/>
            <w:gridSpan w:val="2"/>
            <w:tcBorders>
              <w:tl2br w:val="nil"/>
              <w:tr2bl w:val="nil"/>
            </w:tcBorders>
            <w:shd w:val="clear" w:color="auto" w:fill="auto"/>
            <w:noWrap/>
            <w:vAlign w:val="center"/>
          </w:tcPr>
          <w:p>
            <w:pPr>
              <w:jc w:val="center"/>
              <w:rPr>
                <w:rFonts w:hint="eastAsia" w:ascii="仿宋" w:hAnsi="仿宋" w:eastAsia="仿宋" w:cs="仿宋"/>
                <w:i w:val="0"/>
                <w:iCs w:val="0"/>
                <w:color w:val="000000"/>
                <w:kern w:val="0"/>
                <w:sz w:val="20"/>
                <w:szCs w:val="20"/>
                <w:u w:val="none"/>
                <w:lang w:val="en-US" w:eastAsia="zh-CN" w:bidi="ar"/>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1.87</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3226" w:type="dxa"/>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宋体" w:hAnsi="宋体" w:eastAsia="宋体" w:cs="宋体"/>
                <w:i w:val="0"/>
                <w:iCs w:val="0"/>
                <w:color w:val="000000"/>
                <w:kern w:val="0"/>
                <w:sz w:val="22"/>
                <w:szCs w:val="22"/>
                <w:u w:val="none"/>
                <w:lang w:val="en-US" w:eastAsia="zh-CN" w:bidi="ar"/>
              </w:rPr>
              <w:t>档案数字化</w:t>
            </w:r>
          </w:p>
        </w:tc>
        <w:tc>
          <w:tcPr>
            <w:tcW w:w="2014" w:type="dxa"/>
            <w:gridSpan w:val="2"/>
            <w:tcBorders>
              <w:tl2br w:val="nil"/>
              <w:tr2bl w:val="nil"/>
            </w:tcBorders>
            <w:shd w:val="clear" w:color="auto" w:fill="auto"/>
            <w:noWrap/>
            <w:vAlign w:val="center"/>
          </w:tcPr>
          <w:p>
            <w:pPr>
              <w:jc w:val="center"/>
              <w:rPr>
                <w:rFonts w:hint="eastAsia" w:ascii="仿宋" w:hAnsi="仿宋" w:eastAsia="仿宋" w:cs="仿宋"/>
                <w:i w:val="0"/>
                <w:iCs w:val="0"/>
                <w:color w:val="000000"/>
                <w:kern w:val="0"/>
                <w:sz w:val="20"/>
                <w:szCs w:val="20"/>
                <w:u w:val="none"/>
                <w:lang w:val="en-US" w:eastAsia="zh-CN" w:bidi="ar"/>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5.56</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5.56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公用经费：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23.77</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42.12</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42.12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其中：办公经费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1.41</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5.21</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水费、电费、差旅费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1.11</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1.42</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会议费、培训费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0.13</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0.39</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0.39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政府采购金额</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 xml:space="preserve">部门基本支出预算调整 </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76" w:hRule="atLeast"/>
        </w:trPr>
        <w:tc>
          <w:tcPr>
            <w:tcW w:w="1661"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楼堂馆所控制情况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（2023年完工项目）</w:t>
            </w:r>
          </w:p>
        </w:tc>
        <w:tc>
          <w:tcPr>
            <w:tcW w:w="40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批复规模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62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实际规模</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4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规模控制率</w:t>
            </w:r>
          </w:p>
        </w:tc>
        <w:tc>
          <w:tcPr>
            <w:tcW w:w="6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预算投资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50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639"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投资概算控制率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4" w:hRule="atLeast"/>
        </w:trPr>
        <w:tc>
          <w:tcPr>
            <w:tcW w:w="1661"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07"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29"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476"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82"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502"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39"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0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厉行节约保障措施</w:t>
            </w:r>
          </w:p>
        </w:tc>
        <w:tc>
          <w:tcPr>
            <w:tcW w:w="3338" w:type="pct"/>
            <w:gridSpan w:val="6"/>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bl>
    <w:p>
      <w:pPr>
        <w:pStyle w:val="13"/>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eastAsia="仿宋_GB2312"/>
          <w:kern w:val="0"/>
          <w:sz w:val="22"/>
        </w:rPr>
      </w:pPr>
    </w:p>
    <w:p>
      <w:pPr>
        <w:pStyle w:val="13"/>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hint="eastAsia"/>
          <w:lang w:val="en-US" w:eastAsia="zh-CN"/>
        </w:rPr>
      </w:pPr>
      <w:r>
        <w:rPr>
          <w:rFonts w:eastAsia="仿宋_GB2312"/>
          <w:kern w:val="0"/>
          <w:sz w:val="22"/>
        </w:rPr>
        <w:t>说明：“项目支出”需要填报基本支出以外的所有项目支出情况，“公用经费”填报基本支出中的一般商品和服务支出。</w:t>
      </w:r>
    </w:p>
    <w:p>
      <w:pPr>
        <w:widowControl w:val="0"/>
        <w:kinsoku/>
        <w:autoSpaceDE/>
        <w:autoSpaceDN/>
        <w:adjustRightInd/>
        <w:snapToGrid/>
        <w:spacing w:line="600" w:lineRule="exact"/>
        <w:jc w:val="both"/>
        <w:textAlignment w:val="auto"/>
        <w:rPr>
          <w:rFonts w:hint="default" w:ascii="Times New Roman" w:hAnsi="Times New Roman" w:eastAsia="仿宋_GB2312" w:cs="Times New Roman"/>
          <w:snapToGrid/>
          <w:color w:val="000000"/>
          <w:kern w:val="0"/>
          <w:sz w:val="24"/>
          <w:szCs w:val="24"/>
          <w:lang w:val="en-US" w:eastAsia="zh-CN" w:bidi="ar-SA"/>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联系电话：</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单位负责人签字：</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sectPr>
          <w:footerReference r:id="rId3" w:type="default"/>
          <w:footerReference r:id="rId4" w:type="even"/>
          <w:pgSz w:w="11906" w:h="16838"/>
          <w:pgMar w:top="1588" w:right="1588" w:bottom="1588" w:left="1588" w:header="851" w:footer="992" w:gutter="0"/>
          <w:pgNumType w:start="1"/>
          <w:cols w:space="720" w:num="1"/>
          <w:titlePg/>
          <w:docGrid w:type="linesAndChars" w:linePitch="602" w:charSpace="-782"/>
        </w:sectPr>
      </w:pP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3-1</w:t>
      </w:r>
      <w:r>
        <w:rPr>
          <w:rFonts w:hint="eastAsia" w:ascii="黑体" w:hAnsi="黑体" w:eastAsia="黑体" w:cs="黑体"/>
          <w:bCs/>
          <w:sz w:val="32"/>
          <w:szCs w:val="32"/>
        </w:rPr>
        <w:t>：</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val="0"/>
          <w:sz w:val="46"/>
          <w:szCs w:val="46"/>
        </w:rPr>
      </w:pPr>
      <w:r>
        <w:rPr>
          <w:rFonts w:hint="eastAsia" w:ascii="宋体" w:hAnsi="宋体" w:eastAsia="宋体" w:cs="宋体"/>
          <w:b/>
          <w:bCs w:val="0"/>
          <w:sz w:val="46"/>
          <w:szCs w:val="46"/>
        </w:rPr>
        <w:t>岳阳市云溪区</w:t>
      </w:r>
      <w:r>
        <w:rPr>
          <w:rFonts w:hint="eastAsia" w:ascii="宋体" w:hAnsi="宋体" w:eastAsia="宋体" w:cs="宋体"/>
          <w:b/>
          <w:bCs w:val="0"/>
          <w:sz w:val="46"/>
          <w:szCs w:val="46"/>
          <w:u w:val="single"/>
        </w:rPr>
        <w:t>20</w:t>
      </w:r>
      <w:r>
        <w:rPr>
          <w:rFonts w:hint="eastAsia" w:ascii="宋体" w:hAnsi="宋体" w:eastAsia="宋体" w:cs="宋体"/>
          <w:b/>
          <w:bCs w:val="0"/>
          <w:sz w:val="46"/>
          <w:szCs w:val="46"/>
          <w:u w:val="single"/>
          <w:lang w:val="en-US" w:eastAsia="zh-CN"/>
        </w:rPr>
        <w:t>23</w:t>
      </w:r>
      <w:r>
        <w:rPr>
          <w:rFonts w:hint="eastAsia" w:ascii="宋体" w:hAnsi="宋体" w:eastAsia="宋体" w:cs="宋体"/>
          <w:b/>
          <w:bCs w:val="0"/>
          <w:sz w:val="46"/>
          <w:szCs w:val="46"/>
        </w:rPr>
        <w:t>年度部门整体支出</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绩效评价自评报告</w:t>
      </w: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r>
        <w:rPr>
          <w:rFonts w:hint="eastAsia" w:eastAsia="仿宋_GB2312"/>
          <w:b/>
          <w:sz w:val="32"/>
          <w:lang w:val="en-US" w:eastAsia="zh-CN"/>
        </w:rPr>
        <w:t xml:space="preserve"> </w:t>
      </w: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u w:val="single"/>
        </w:rPr>
        <w:t xml:space="preserve"> </w:t>
      </w:r>
      <w:r>
        <w:rPr>
          <w:rFonts w:hint="eastAsia" w:eastAsia="仿宋_GB2312"/>
          <w:sz w:val="32"/>
          <w:szCs w:val="32"/>
          <w:u w:val="single"/>
          <w:lang w:eastAsia="zh-CN"/>
        </w:rPr>
        <w:t>中共岳阳市云溪区委党史研究室</w:t>
      </w:r>
      <w:r>
        <w:rPr>
          <w:rFonts w:hint="eastAsia" w:eastAsia="仿宋_GB2312"/>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 码：</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131001</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评价方式：部门（单位）绩效自评</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 xml:space="preserve">评价机构：部门（单位）评价组   </w:t>
      </w: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lang w:val="en-US" w:eastAsia="zh-CN"/>
        </w:rPr>
        <w:t xml:space="preserve">         </w:t>
      </w:r>
      <w:r>
        <w:rPr>
          <w:rFonts w:hint="eastAsia" w:eastAsia="仿宋_GB2312"/>
          <w:sz w:val="32"/>
        </w:rPr>
        <w:t>报告日期：</w:t>
      </w:r>
      <w:r>
        <w:rPr>
          <w:rFonts w:hint="eastAsia" w:eastAsia="仿宋_GB2312"/>
          <w:sz w:val="32"/>
          <w:lang w:val="en-US" w:eastAsia="zh-CN"/>
        </w:rPr>
        <w:t>2024</w:t>
      </w:r>
      <w:r>
        <w:rPr>
          <w:rFonts w:hint="eastAsia" w:eastAsia="仿宋_GB2312"/>
          <w:sz w:val="32"/>
        </w:rPr>
        <w:t xml:space="preserve"> 年 </w:t>
      </w:r>
      <w:r>
        <w:rPr>
          <w:rFonts w:hint="eastAsia" w:eastAsia="仿宋_GB2312"/>
          <w:sz w:val="32"/>
          <w:lang w:val="en-US" w:eastAsia="zh-CN"/>
        </w:rPr>
        <w:t>6</w:t>
      </w:r>
      <w:r>
        <w:rPr>
          <w:rFonts w:hint="eastAsia" w:eastAsia="仿宋_GB2312"/>
          <w:sz w:val="32"/>
        </w:rPr>
        <w:t xml:space="preserve">  月 </w:t>
      </w:r>
      <w:r>
        <w:rPr>
          <w:rFonts w:hint="eastAsia" w:eastAsia="仿宋_GB2312"/>
          <w:sz w:val="32"/>
          <w:lang w:val="en-US" w:eastAsia="zh-CN"/>
        </w:rPr>
        <w:t>17</w:t>
      </w:r>
      <w:r>
        <w:rPr>
          <w:rFonts w:hint="eastAsia" w:eastAsia="仿宋_GB2312"/>
          <w:sz w:val="32"/>
        </w:rPr>
        <w:t xml:space="preserve">  日</w:t>
      </w:r>
    </w:p>
    <w:p>
      <w:pPr>
        <w:keepNext w:val="0"/>
        <w:keepLines w:val="0"/>
        <w:pageBreakBefore w:val="0"/>
        <w:kinsoku/>
        <w:overflowPunct/>
        <w:topLinePunct w:val="0"/>
        <w:autoSpaceDE/>
        <w:autoSpaceDN w:val="0"/>
        <w:bidi w:val="0"/>
        <w:spacing w:line="560" w:lineRule="exact"/>
        <w:jc w:val="center"/>
        <w:textAlignment w:val="center"/>
        <w:rPr>
          <w:rFonts w:hint="eastAsia" w:eastAsia="仿宋_GB2312"/>
          <w:sz w:val="32"/>
          <w:szCs w:val="32"/>
        </w:rPr>
      </w:pPr>
      <w:r>
        <w:rPr>
          <w:rFonts w:hint="eastAsia" w:eastAsia="仿宋_GB2312"/>
          <w:sz w:val="32"/>
          <w:lang w:val="en-US" w:eastAsia="zh-CN"/>
        </w:rPr>
        <w:t xml:space="preserve">          </w:t>
      </w:r>
      <w:r>
        <w:rPr>
          <w:rFonts w:hint="eastAsia" w:eastAsia="仿宋_GB2312"/>
          <w:sz w:val="32"/>
          <w:lang w:eastAsia="zh-CN"/>
        </w:rPr>
        <w:t>中共岳阳市云溪区委党史研究室</w:t>
      </w:r>
      <w:r>
        <w:rPr>
          <w:rFonts w:hint="eastAsia" w:eastAsia="仿宋_GB2312"/>
          <w:sz w:val="32"/>
          <w:szCs w:val="32"/>
        </w:rPr>
        <w:t>（制）</w:t>
      </w: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sectPr>
          <w:pgSz w:w="11906" w:h="16838"/>
          <w:pgMar w:top="1588" w:right="1588" w:bottom="1588" w:left="1588" w:header="851" w:footer="992" w:gutter="0"/>
          <w:pgNumType w:start="1"/>
          <w:cols w:space="720" w:num="1"/>
          <w:titlePg/>
          <w:docGrid w:type="linesAndChars" w:linePitch="602" w:charSpace="-782"/>
        </w:sectPr>
      </w:pPr>
    </w:p>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整体支出绩效自评表</w:t>
      </w:r>
    </w:p>
    <w:tbl>
      <w:tblPr>
        <w:tblStyle w:val="7"/>
        <w:tblW w:w="549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52"/>
        <w:gridCol w:w="856"/>
        <w:gridCol w:w="887"/>
        <w:gridCol w:w="412"/>
        <w:gridCol w:w="913"/>
        <w:gridCol w:w="164"/>
        <w:gridCol w:w="889"/>
        <w:gridCol w:w="1144"/>
        <w:gridCol w:w="825"/>
        <w:gridCol w:w="708"/>
        <w:gridCol w:w="800"/>
        <w:gridCol w:w="939"/>
        <w:gridCol w:w="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64" w:hRule="atLeast"/>
        </w:trPr>
        <w:tc>
          <w:tcPr>
            <w:tcW w:w="8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预算部门名称</w:t>
            </w:r>
          </w:p>
        </w:tc>
        <w:tc>
          <w:tcPr>
            <w:tcW w:w="4141" w:type="pct"/>
            <w:gridSpan w:val="11"/>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eastAsia="仿宋_GB2312"/>
                <w:kern w:val="0"/>
                <w:sz w:val="24"/>
                <w:lang w:val="en-US" w:eastAsia="zh-CN"/>
              </w:rPr>
              <w:t>中共岳阳市云溪区委党史研究室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5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年度预算申请</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(万元)</w:t>
            </w:r>
          </w:p>
        </w:tc>
        <w:tc>
          <w:tcPr>
            <w:tcW w:w="69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8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年初预算数(万元)</w:t>
            </w:r>
          </w:p>
        </w:tc>
        <w:tc>
          <w:tcPr>
            <w:tcW w:w="56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全年预算数（万元）</w:t>
            </w:r>
          </w:p>
        </w:tc>
        <w:tc>
          <w:tcPr>
            <w:tcW w:w="610"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全年执行数（万元）</w:t>
            </w:r>
          </w:p>
        </w:tc>
        <w:tc>
          <w:tcPr>
            <w:tcW w:w="81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42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执行率</w:t>
            </w:r>
          </w:p>
        </w:tc>
        <w:tc>
          <w:tcPr>
            <w:tcW w:w="54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76"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年度资金总额：</w:t>
            </w:r>
          </w:p>
        </w:tc>
        <w:tc>
          <w:tcPr>
            <w:tcW w:w="48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142.86</w:t>
            </w:r>
          </w:p>
        </w:tc>
        <w:tc>
          <w:tcPr>
            <w:tcW w:w="56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197.50</w:t>
            </w:r>
          </w:p>
        </w:tc>
        <w:tc>
          <w:tcPr>
            <w:tcW w:w="61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197.50</w:t>
            </w:r>
          </w:p>
        </w:tc>
        <w:tc>
          <w:tcPr>
            <w:tcW w:w="81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10</w:t>
            </w:r>
          </w:p>
        </w:tc>
        <w:tc>
          <w:tcPr>
            <w:tcW w:w="42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100.00%</w:t>
            </w:r>
          </w:p>
        </w:tc>
        <w:tc>
          <w:tcPr>
            <w:tcW w:w="54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4"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353" w:type="pct"/>
            <w:gridSpan w:val="6"/>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按收入性质分：</w:t>
            </w:r>
          </w:p>
        </w:tc>
        <w:tc>
          <w:tcPr>
            <w:tcW w:w="1788" w:type="pct"/>
            <w:gridSpan w:val="5"/>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按支出性质分：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44"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一般公共预算：</w:t>
            </w:r>
          </w:p>
        </w:tc>
        <w:tc>
          <w:tcPr>
            <w:tcW w:w="1660"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196.98</w:t>
            </w:r>
          </w:p>
        </w:tc>
        <w:tc>
          <w:tcPr>
            <w:tcW w:w="81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其中:基本支出：</w:t>
            </w:r>
          </w:p>
        </w:tc>
        <w:tc>
          <w:tcPr>
            <w:tcW w:w="969"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175.50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28"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政府性基金拨款：</w:t>
            </w:r>
          </w:p>
        </w:tc>
        <w:tc>
          <w:tcPr>
            <w:tcW w:w="1660"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81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969"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2"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纳入专户管理的非税收入拨款：</w:t>
            </w:r>
          </w:p>
        </w:tc>
        <w:tc>
          <w:tcPr>
            <w:tcW w:w="1660"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81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项目支出：</w:t>
            </w:r>
          </w:p>
        </w:tc>
        <w:tc>
          <w:tcPr>
            <w:tcW w:w="969"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其他资金</w:t>
            </w:r>
          </w:p>
        </w:tc>
        <w:tc>
          <w:tcPr>
            <w:tcW w:w="1660"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0.52</w:t>
            </w:r>
          </w:p>
        </w:tc>
        <w:tc>
          <w:tcPr>
            <w:tcW w:w="81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969"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85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年度总体目标</w:t>
            </w:r>
          </w:p>
        </w:tc>
        <w:tc>
          <w:tcPr>
            <w:tcW w:w="2353" w:type="pct"/>
            <w:gridSpan w:val="6"/>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预期目标</w:t>
            </w:r>
          </w:p>
        </w:tc>
        <w:tc>
          <w:tcPr>
            <w:tcW w:w="1788"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2353" w:type="pct"/>
            <w:gridSpan w:val="6"/>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落实省市党史地方志和档案工作部门的要求，切实抓好档案基础业务建设，档案信息建设、档案法制化建设，坚持以存史资政育人为根本任务，打造党史地方精品目标。</w:t>
            </w:r>
          </w:p>
        </w:tc>
        <w:tc>
          <w:tcPr>
            <w:tcW w:w="1788"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已按计划完成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41" w:type="pct"/>
          <w:trHeight w:val="309" w:hRule="atLeast"/>
        </w:trPr>
        <w:tc>
          <w:tcPr>
            <w:tcW w:w="401"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绩效指标</w:t>
            </w:r>
          </w:p>
        </w:tc>
        <w:tc>
          <w:tcPr>
            <w:tcW w:w="456"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一级指标</w:t>
            </w:r>
          </w:p>
        </w:tc>
        <w:tc>
          <w:tcPr>
            <w:tcW w:w="473"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二级指标</w:t>
            </w:r>
          </w:p>
        </w:tc>
        <w:tc>
          <w:tcPr>
            <w:tcW w:w="794"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三级指标</w:t>
            </w:r>
          </w:p>
        </w:tc>
        <w:tc>
          <w:tcPr>
            <w:tcW w:w="1085"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年度指标值</w:t>
            </w:r>
          </w:p>
        </w:tc>
        <w:tc>
          <w:tcPr>
            <w:tcW w:w="440"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实际完成值</w:t>
            </w:r>
          </w:p>
        </w:tc>
        <w:tc>
          <w:tcPr>
            <w:tcW w:w="377"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427"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c>
          <w:tcPr>
            <w:tcW w:w="50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偏差原因分析及改进措施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1" w:type="pct"/>
          <w:trHeight w:val="549" w:hRule="atLeast"/>
        </w:trPr>
        <w:tc>
          <w:tcPr>
            <w:tcW w:w="401"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56"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73"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794"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1085"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40"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377"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27"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501"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41" w:type="pct"/>
          <w:trHeight w:val="648" w:hRule="atLeast"/>
        </w:trPr>
        <w:tc>
          <w:tcPr>
            <w:tcW w:w="401" w:type="pct"/>
            <w:vMerge w:val="restart"/>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绩效指标</w:t>
            </w:r>
          </w:p>
        </w:tc>
        <w:tc>
          <w:tcPr>
            <w:tcW w:w="456"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产出指标</w:t>
            </w:r>
          </w:p>
        </w:tc>
        <w:tc>
          <w:tcPr>
            <w:tcW w:w="473"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数量指标</w:t>
            </w:r>
          </w:p>
        </w:tc>
        <w:tc>
          <w:tcPr>
            <w:tcW w:w="794"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完成《今古云溪》编纂</w:t>
            </w:r>
          </w:p>
        </w:tc>
        <w:tc>
          <w:tcPr>
            <w:tcW w:w="108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200册</w:t>
            </w:r>
          </w:p>
        </w:tc>
        <w:tc>
          <w:tcPr>
            <w:tcW w:w="44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3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427" w:type="pct"/>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1" w:type="pct"/>
          <w:trHeight w:val="648" w:hRule="atLeast"/>
        </w:trPr>
        <w:tc>
          <w:tcPr>
            <w:tcW w:w="401" w:type="pct"/>
            <w:vMerge w:val="continue"/>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456" w:type="pct"/>
            <w:vMerge w:val="continue"/>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473" w:type="pct"/>
            <w:vMerge w:val="continue"/>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794"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完成《云溪年鉴》编印</w:t>
            </w:r>
          </w:p>
        </w:tc>
        <w:tc>
          <w:tcPr>
            <w:tcW w:w="108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200册</w:t>
            </w:r>
          </w:p>
        </w:tc>
        <w:tc>
          <w:tcPr>
            <w:tcW w:w="440" w:type="pct"/>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100%</w:t>
            </w:r>
          </w:p>
        </w:tc>
        <w:tc>
          <w:tcPr>
            <w:tcW w:w="377" w:type="pct"/>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10</w:t>
            </w:r>
          </w:p>
        </w:tc>
        <w:tc>
          <w:tcPr>
            <w:tcW w:w="427" w:type="pct"/>
            <w:tcBorders>
              <w:tl2br w:val="nil"/>
              <w:tr2bl w:val="nil"/>
            </w:tcBorders>
            <w:shd w:val="clear" w:color="auto" w:fill="auto"/>
            <w:vAlign w:val="center"/>
          </w:tcPr>
          <w:p>
            <w:pPr>
              <w:keepNext w:val="0"/>
              <w:keepLines w:val="0"/>
              <w:widowControl/>
              <w:suppressLineNumbers w:val="0"/>
              <w:jc w:val="left"/>
              <w:textAlignment w:val="center"/>
              <w:rPr>
                <w:rFonts w:hint="default" w:ascii="仿宋_GB2312" w:hAnsi="宋体"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10</w:t>
            </w: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1" w:type="pct"/>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质量指标</w:t>
            </w:r>
          </w:p>
        </w:tc>
        <w:tc>
          <w:tcPr>
            <w:tcW w:w="794"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重点工作合格率</w:t>
            </w:r>
          </w:p>
        </w:tc>
        <w:tc>
          <w:tcPr>
            <w:tcW w:w="108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≥98%</w:t>
            </w:r>
          </w:p>
        </w:tc>
        <w:tc>
          <w:tcPr>
            <w:tcW w:w="44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3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427" w:type="pct"/>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1" w:type="pct"/>
          <w:trHeight w:val="1116"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时效指标</w:t>
            </w:r>
          </w:p>
        </w:tc>
        <w:tc>
          <w:tcPr>
            <w:tcW w:w="794"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重点工作任务完成</w:t>
            </w:r>
          </w:p>
        </w:tc>
        <w:tc>
          <w:tcPr>
            <w:tcW w:w="108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2023年12月31日之前</w:t>
            </w:r>
          </w:p>
        </w:tc>
        <w:tc>
          <w:tcPr>
            <w:tcW w:w="44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及时完成</w:t>
            </w:r>
          </w:p>
        </w:tc>
        <w:tc>
          <w:tcPr>
            <w:tcW w:w="3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427" w:type="pct"/>
            <w:tcBorders>
              <w:tl2br w:val="nil"/>
              <w:tr2bl w:val="nil"/>
            </w:tcBorders>
            <w:shd w:val="clear" w:color="auto" w:fill="auto"/>
            <w:vAlign w:val="center"/>
          </w:tcPr>
          <w:p>
            <w:pPr>
              <w:keepNext w:val="0"/>
              <w:keepLines w:val="0"/>
              <w:widowControl/>
              <w:suppressLineNumbers w:val="0"/>
              <w:jc w:val="left"/>
              <w:textAlignment w:val="center"/>
              <w:rPr>
                <w:rFonts w:hint="default" w:ascii="仿宋_GB2312" w:hAnsi="仿宋_GB2312" w:eastAsia="仿宋_GB2312" w:cs="仿宋_GB2312"/>
                <w:i w:val="0"/>
                <w:iCs w:val="0"/>
                <w:color w:val="000000"/>
                <w:sz w:val="20"/>
                <w:szCs w:val="20"/>
                <w:u w:val="none"/>
                <w:lang w:val="en-US"/>
              </w:rPr>
            </w:pPr>
            <w:r>
              <w:rPr>
                <w:rFonts w:hint="default" w:ascii="仿宋_GB2312" w:hAnsi="宋体" w:eastAsia="仿宋_GB2312" w:cs="仿宋_GB2312"/>
                <w:i w:val="0"/>
                <w:iCs w:val="0"/>
                <w:color w:val="000000"/>
                <w:kern w:val="0"/>
                <w:sz w:val="20"/>
                <w:szCs w:val="20"/>
                <w:u w:val="none"/>
                <w:lang w:val="en-US" w:eastAsia="zh-CN" w:bidi="ar"/>
              </w:rPr>
              <w:t>10</w:t>
            </w: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41" w:type="pct"/>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效益指标</w:t>
            </w: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经济效益指标</w:t>
            </w:r>
          </w:p>
        </w:tc>
        <w:tc>
          <w:tcPr>
            <w:tcW w:w="794"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08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44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3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427" w:type="pct"/>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41" w:type="pct"/>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社会效益指标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提升文化内涵，增强《年鉴》、《今古云溪》可读性、实用性和资料性</w:t>
            </w:r>
          </w:p>
        </w:tc>
        <w:tc>
          <w:tcPr>
            <w:tcW w:w="203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提升</w:t>
            </w:r>
          </w:p>
        </w:tc>
        <w:tc>
          <w:tcPr>
            <w:tcW w:w="82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提升</w:t>
            </w:r>
          </w:p>
        </w:tc>
        <w:tc>
          <w:tcPr>
            <w:tcW w:w="708"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30</w:t>
            </w:r>
          </w:p>
        </w:tc>
        <w:tc>
          <w:tcPr>
            <w:tcW w:w="8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30</w:t>
            </w: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41" w:type="pct"/>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生态效益指标</w:t>
            </w:r>
          </w:p>
        </w:tc>
        <w:tc>
          <w:tcPr>
            <w:tcW w:w="794"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08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44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3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42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1" w:type="pct"/>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可持续影响指标</w:t>
            </w:r>
          </w:p>
        </w:tc>
        <w:tc>
          <w:tcPr>
            <w:tcW w:w="794"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08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44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37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427" w:type="pct"/>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1" w:type="pct"/>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满意度指标</w:t>
            </w: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服务对象满意度指标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群众满意度</w:t>
            </w:r>
          </w:p>
        </w:tc>
        <w:tc>
          <w:tcPr>
            <w:tcW w:w="203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≥98%</w:t>
            </w:r>
          </w:p>
        </w:tc>
        <w:tc>
          <w:tcPr>
            <w:tcW w:w="82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708"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800"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41" w:type="pct"/>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成本指标</w:t>
            </w: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经济成本指标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预算控制数</w:t>
            </w:r>
          </w:p>
        </w:tc>
        <w:tc>
          <w:tcPr>
            <w:tcW w:w="203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≤197.50万元</w:t>
            </w:r>
          </w:p>
        </w:tc>
        <w:tc>
          <w:tcPr>
            <w:tcW w:w="82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197.50万元</w:t>
            </w:r>
          </w:p>
        </w:tc>
        <w:tc>
          <w:tcPr>
            <w:tcW w:w="708"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800"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41" w:type="pct"/>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社会成本指标</w:t>
            </w:r>
          </w:p>
        </w:tc>
        <w:tc>
          <w:tcPr>
            <w:tcW w:w="794"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1085"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40"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77"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27" w:type="pct"/>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1" w:type="pct"/>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生态环境成本指标</w:t>
            </w:r>
          </w:p>
        </w:tc>
        <w:tc>
          <w:tcPr>
            <w:tcW w:w="794"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1085"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40"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77"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27" w:type="pct"/>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501"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41" w:type="pct"/>
          <w:trHeight w:val="648" w:hRule="atLeast"/>
        </w:trPr>
        <w:tc>
          <w:tcPr>
            <w:tcW w:w="133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绩效自评综合得分</w:t>
            </w:r>
          </w:p>
        </w:tc>
        <w:tc>
          <w:tcPr>
            <w:tcW w:w="3626" w:type="pct"/>
            <w:gridSpan w:val="9"/>
            <w:tcBorders>
              <w:tl2br w:val="nil"/>
              <w:tr2bl w:val="nil"/>
            </w:tcBorders>
            <w:shd w:val="clear" w:color="auto" w:fill="auto"/>
            <w:vAlign w:val="center"/>
          </w:tcPr>
          <w:p>
            <w:pPr>
              <w:jc w:val="center"/>
              <w:rPr>
                <w:rFonts w:hint="default"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100分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1" w:type="pct"/>
          <w:trHeight w:val="648" w:hRule="atLeast"/>
        </w:trPr>
        <w:tc>
          <w:tcPr>
            <w:tcW w:w="133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评价等次</w:t>
            </w:r>
          </w:p>
        </w:tc>
        <w:tc>
          <w:tcPr>
            <w:tcW w:w="3626" w:type="pct"/>
            <w:gridSpan w:val="9"/>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bl>
    <w:p>
      <w:pPr>
        <w:pStyle w:val="10"/>
      </w:pPr>
    </w:p>
    <w:p>
      <w:pPr>
        <w:pStyle w:val="10"/>
      </w:pPr>
    </w:p>
    <w:p>
      <w:pPr>
        <w:pStyle w:val="10"/>
      </w:pPr>
    </w:p>
    <w:p>
      <w:pPr>
        <w:pStyle w:val="10"/>
        <w:ind w:left="0" w:leftChars="0" w:firstLine="0" w:firstLineChars="0"/>
      </w:pPr>
    </w:p>
    <w:p>
      <w:pPr>
        <w:pStyle w:val="10"/>
        <w:ind w:left="0" w:leftChars="0" w:firstLine="0" w:firstLineChars="0"/>
      </w:pPr>
    </w:p>
    <w:p>
      <w:pPr>
        <w:pStyle w:val="10"/>
        <w:ind w:left="0" w:leftChars="0" w:firstLine="0" w:firstLineChars="0"/>
      </w:pPr>
    </w:p>
    <w:p>
      <w:pPr>
        <w:pStyle w:val="10"/>
        <w:ind w:left="0" w:leftChars="0" w:firstLine="0" w:firstLineChars="0"/>
      </w:pPr>
    </w:p>
    <w:p>
      <w:pPr>
        <w:pStyle w:val="10"/>
        <w:ind w:left="0" w:leftChars="0" w:firstLine="0" w:firstLineChars="0"/>
      </w:pPr>
    </w:p>
    <w:p>
      <w:pPr>
        <w:pStyle w:val="10"/>
        <w:ind w:left="0" w:leftChars="0" w:firstLine="0" w:firstLineChars="0"/>
      </w:pPr>
    </w:p>
    <w:p>
      <w:pPr>
        <w:pStyle w:val="10"/>
        <w:ind w:left="0" w:leftChars="0" w:firstLine="0" w:firstLineChars="0"/>
      </w:pPr>
    </w:p>
    <w:tbl>
      <w:tblPr>
        <w:tblStyle w:val="7"/>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1654"/>
        <w:gridCol w:w="3561"/>
        <w:gridCol w:w="1479"/>
        <w:gridCol w:w="3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46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9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部门（单位）负责人（签章）：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60" w:hRule="atLeast"/>
          <w:jc w:val="center"/>
        </w:trPr>
        <w:tc>
          <w:tcPr>
            <w:tcW w:w="9800" w:type="dxa"/>
            <w:gridSpan w:val="4"/>
            <w:noWrap w:val="0"/>
            <w:vAlign w:val="center"/>
          </w:tcPr>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财政部门归口业务股室意见：</w:t>
            </w: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 xml:space="preserve">                                  财政部门归口业务股室负责人（签章）：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bl>
    <w:p>
      <w:pPr>
        <w:pStyle w:val="10"/>
        <w:sectPr>
          <w:pgSz w:w="11906" w:h="16838"/>
          <w:pgMar w:top="1440" w:right="1800" w:bottom="1440" w:left="1800" w:header="851" w:footer="992" w:gutter="0"/>
          <w:cols w:space="425" w:num="1"/>
          <w:docGrid w:type="lines" w:linePitch="312" w:charSpace="0"/>
        </w:sectPr>
      </w:pPr>
      <w:r>
        <w:rPr>
          <w:rFonts w:hint="eastAsia" w:eastAsia="仿宋_GB2312" w:cs="仿宋_GB2312"/>
          <w:bCs/>
          <w:sz w:val="28"/>
          <w:szCs w:val="28"/>
        </w:rPr>
        <w:t>填报人（签名）：                          联系电话：</w:t>
      </w:r>
    </w:p>
    <w:p>
      <w:pPr>
        <w:bidi w:val="0"/>
        <w:rPr>
          <w:rFonts w:hint="default"/>
          <w:lang w:val="en-US" w:eastAsia="zh-CN"/>
        </w:rPr>
      </w:pPr>
      <w:r>
        <w:rPr>
          <w:rFonts w:hint="eastAsia"/>
          <w:lang w:val="en-US" w:eastAsia="zh-CN"/>
        </w:rPr>
        <w:t>附件1</w:t>
      </w:r>
    </w:p>
    <w:p>
      <w:pPr>
        <w:bidi w:val="0"/>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中共岳阳市云溪区委党史研究室</w:t>
      </w:r>
    </w:p>
    <w:p>
      <w:pPr>
        <w:bidi w:val="0"/>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部门整体支出绩效自评报告</w:t>
      </w:r>
    </w:p>
    <w:p>
      <w:pPr>
        <w:bidi w:val="0"/>
      </w:pPr>
    </w:p>
    <w:p>
      <w:pPr>
        <w:pStyle w:val="2"/>
        <w:bidi w:val="0"/>
        <w:rPr>
          <w:rFonts w:hint="eastAsia"/>
        </w:rPr>
      </w:pPr>
      <w:r>
        <w:rPr>
          <w:rFonts w:hint="eastAsia"/>
        </w:rPr>
        <w:t>一、部门（单位）概况</w:t>
      </w:r>
    </w:p>
    <w:p>
      <w:pPr>
        <w:pStyle w:val="3"/>
        <w:bidi w:val="0"/>
        <w:rPr>
          <w:rFonts w:hint="default"/>
        </w:rPr>
      </w:pPr>
      <w:r>
        <w:rPr>
          <w:rFonts w:hint="default"/>
        </w:rPr>
        <w:t>（一）机构设置情况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楷体_GB2312" w:eastAsia="楷体_GB2312" w:cs="楷体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我室内设股室5个，分别是办公室、史志编研室、党史联络股、档案管理股、编研利用股。</w:t>
      </w:r>
    </w:p>
    <w:p>
      <w:pPr>
        <w:pStyle w:val="3"/>
        <w:bidi w:val="0"/>
        <w:rPr>
          <w:rFonts w:hint="default"/>
        </w:rPr>
      </w:pPr>
      <w:r>
        <w:rPr>
          <w:rFonts w:hint="eastAsia"/>
          <w:lang w:eastAsia="zh-CN"/>
        </w:rPr>
        <w:t>（</w:t>
      </w:r>
      <w:r>
        <w:rPr>
          <w:rFonts w:hint="eastAsia"/>
          <w:lang w:val="en-US" w:eastAsia="zh-CN"/>
        </w:rPr>
        <w:t>二</w:t>
      </w:r>
      <w:r>
        <w:rPr>
          <w:rFonts w:hint="eastAsia"/>
          <w:lang w:eastAsia="zh-CN"/>
        </w:rPr>
        <w:t>）</w:t>
      </w:r>
      <w:r>
        <w:rPr>
          <w:rFonts w:hint="default"/>
        </w:rPr>
        <w:t>人员编制情况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2023年末实有人数10人，其中事业人员10人。</w:t>
      </w:r>
    </w:p>
    <w:p>
      <w:pPr>
        <w:pStyle w:val="3"/>
        <w:bidi w:val="0"/>
        <w:rPr>
          <w:rFonts w:hint="default"/>
        </w:rPr>
      </w:pPr>
      <w:r>
        <w:rPr>
          <w:rFonts w:hint="eastAsia"/>
          <w:lang w:eastAsia="zh-CN"/>
        </w:rPr>
        <w:t>（</w:t>
      </w:r>
      <w:r>
        <w:rPr>
          <w:rFonts w:hint="eastAsia"/>
          <w:lang w:val="en-US" w:eastAsia="zh-CN"/>
        </w:rPr>
        <w:t>三</w:t>
      </w:r>
      <w:r>
        <w:rPr>
          <w:rFonts w:hint="eastAsia"/>
          <w:lang w:eastAsia="zh-CN"/>
        </w:rPr>
        <w:t>）</w:t>
      </w:r>
      <w:r>
        <w:rPr>
          <w:rFonts w:hint="default"/>
        </w:rPr>
        <w:t>主要职能职责</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中共岳阳市云溪区委党史研究室为区委直属正科级参照公务员管理单位，加挂云溪区地方志编纂室、云溪区档案馆牌子。负责全区党史、地方志资料的收集、整理。制订编研计划，规章制度并组织实施；负责史志编修工作。收集和接收具有保存价值的档案资料，对所保存的档案进行科学的整理和保管，为社会提供档案利用服务。</w:t>
      </w:r>
    </w:p>
    <w:p>
      <w:pPr>
        <w:pStyle w:val="3"/>
        <w:bidi w:val="0"/>
        <w:rPr>
          <w:rFonts w:hint="default"/>
          <w:lang w:val="en-US" w:eastAsia="zh-CN"/>
        </w:rPr>
      </w:pPr>
      <w:r>
        <w:rPr>
          <w:rFonts w:hint="eastAsia"/>
          <w:lang w:val="en-US" w:eastAsia="zh-CN"/>
        </w:rPr>
        <w:t>（四）</w:t>
      </w:r>
      <w:r>
        <w:rPr>
          <w:rFonts w:hint="default"/>
          <w:lang w:val="en-US" w:eastAsia="zh-CN"/>
        </w:rPr>
        <w:t>绩效目标设定情况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落实省市党史地方志和档案工作部门的要求，切实抓好档案基础业务建设，档案信息建设、档案法制化建设，坚持以存史资政育人为根本任务，打造党史地方精品目标。</w:t>
      </w:r>
    </w:p>
    <w:p>
      <w:pPr>
        <w:pStyle w:val="3"/>
        <w:numPr>
          <w:ilvl w:val="0"/>
          <w:numId w:val="1"/>
        </w:numPr>
        <w:bidi w:val="0"/>
        <w:rPr>
          <w:rFonts w:hint="eastAsia"/>
          <w:lang w:val="en-US" w:eastAsia="zh-CN"/>
        </w:rPr>
      </w:pPr>
      <w:r>
        <w:rPr>
          <w:rFonts w:hint="eastAsia"/>
          <w:lang w:val="en-US" w:eastAsia="zh-CN"/>
        </w:rPr>
        <w:t>一般公共预算支出情况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根据《会计法》《预算法》《行政单位财务规则》等法律和财政部及省财政厅有关财务规章的规定，明确了经费审批权限及程序，经费预算管理、财务经费管理、资产购置与处置、财务监督等。针对“三公”经费探索建立公用经费标准定额体系，开展公用经费使用监督和绩效评估，进一步落实厉行节约的各项规定，确保“三公经费”使用合理合规等。上述制度规定基本执行到位。</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2023年决算支出197.50万元，其中：基本支出197.50万元，项目支出22万元。</w:t>
      </w:r>
    </w:p>
    <w:p>
      <w:pPr>
        <w:pStyle w:val="4"/>
        <w:numPr>
          <w:ilvl w:val="0"/>
          <w:numId w:val="2"/>
        </w:numPr>
        <w:bidi w:val="0"/>
        <w:rPr>
          <w:rFonts w:hint="eastAsia"/>
          <w:b/>
          <w:bCs/>
          <w:lang w:val="en-US" w:eastAsia="zh-CN"/>
        </w:rPr>
      </w:pPr>
      <w:r>
        <w:rPr>
          <w:rFonts w:hint="eastAsia"/>
          <w:b/>
          <w:bCs/>
          <w:lang w:val="en-US" w:eastAsia="zh-CN"/>
        </w:rPr>
        <w:t>基本支出情况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auto"/>
          <w:sz w:val="32"/>
          <w:szCs w:val="32"/>
          <w:lang w:val="en-US" w:eastAsia="zh-CN"/>
        </w:rPr>
        <w:t>基本支出用于为保障各部门、机构正常运转、完成日常工作任务而发生的支出，包括人员经费和公用经费。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sz w:val="32"/>
          <w:szCs w:val="32"/>
          <w:lang w:val="en-US" w:eastAsia="zh-CN"/>
        </w:rPr>
        <w:t>2023年全年基本支出197.50万元，其中：工资福利支出92.39万元、商品和服务支出42.12万元、对个人和家庭的补助40.06万元、债务利息及费用支出0万元、资本性支出0万元、其他支出0万元。</w:t>
      </w:r>
    </w:p>
    <w:p>
      <w:pPr>
        <w:keepNext w:val="0"/>
        <w:keepLines w:val="0"/>
        <w:pageBreakBefore w:val="0"/>
        <w:widowControl w:val="0"/>
        <w:numPr>
          <w:ilvl w:val="0"/>
          <w:numId w:val="2"/>
        </w:numPr>
        <w:kinsoku/>
        <w:wordWrap/>
        <w:overflowPunct/>
        <w:topLinePunct w:val="0"/>
        <w:autoSpaceDE/>
        <w:autoSpaceDN/>
        <w:bidi w:val="0"/>
        <w:adjustRightInd/>
        <w:snapToGrid/>
        <w:spacing w:beforeAutospacing="0" w:afterAutospacing="0" w:line="560" w:lineRule="exact"/>
        <w:ind w:left="0" w:leftChars="0" w:firstLine="643" w:firstLineChars="200"/>
        <w:textAlignment w:val="auto"/>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项目支出情况</w:t>
      </w:r>
    </w:p>
    <w:p>
      <w:pPr>
        <w:keepNext w:val="0"/>
        <w:keepLines w:val="0"/>
        <w:widowControl w:val="0"/>
        <w:suppressLineNumbers w:val="0"/>
        <w:spacing w:before="0" w:beforeLines="0" w:beforeAutospacing="0" w:after="0" w:afterLines="0" w:afterAutospacing="0" w:line="600" w:lineRule="exact"/>
        <w:ind w:left="0" w:right="0" w:firstLine="640" w:firstLineChars="200"/>
        <w:jc w:val="both"/>
        <w:rPr>
          <w:rFonts w:hint="eastAsia" w:ascii="仿宋_GB2312" w:hAnsi="仿宋_GB2312" w:eastAsia="仿宋_GB2312" w:cs="仿宋_GB2312"/>
          <w:b/>
          <w:bCs/>
          <w:color w:val="auto"/>
          <w:kern w:val="2"/>
          <w:sz w:val="32"/>
          <w:szCs w:val="32"/>
          <w:lang w:val="en-US" w:eastAsia="zh-CN" w:bidi="ar-SA"/>
        </w:rPr>
      </w:pPr>
      <w:r>
        <w:rPr>
          <w:rFonts w:hint="default" w:ascii="仿宋_GB2312" w:hAnsi="Calibri" w:eastAsia="仿宋_GB2312" w:cs="仿宋_GB2312"/>
          <w:kern w:val="2"/>
          <w:sz w:val="32"/>
          <w:szCs w:val="32"/>
          <w:lang w:val="en-US" w:eastAsia="zh-CN" w:bidi="ar"/>
        </w:rPr>
        <w:t>项目支出是在基本支出之外为完成其特定的工作任务而发生的支出，主要用于专项工作的运转和设备升级等。</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2023年项目经费支出</w:t>
      </w:r>
      <w:r>
        <w:rPr>
          <w:rFonts w:hint="eastAsia" w:ascii="仿宋_GB2312" w:hAnsi="仿宋_GB2312" w:eastAsia="仿宋_GB2312" w:cs="仿宋_GB2312"/>
          <w:b w:val="0"/>
          <w:bCs w:val="0"/>
          <w:color w:val="auto"/>
          <w:sz w:val="32"/>
          <w:szCs w:val="32"/>
          <w:lang w:val="en-US" w:eastAsia="zh-CN"/>
        </w:rPr>
        <w:t>22</w:t>
      </w:r>
      <w:r>
        <w:rPr>
          <w:rFonts w:hint="eastAsia" w:ascii="仿宋_GB2312" w:hAnsi="仿宋_GB2312" w:eastAsia="仿宋_GB2312" w:cs="仿宋_GB2312"/>
          <w:b w:val="0"/>
          <w:bCs w:val="0"/>
          <w:color w:val="auto"/>
          <w:kern w:val="2"/>
          <w:sz w:val="32"/>
          <w:szCs w:val="32"/>
          <w:lang w:val="en-US" w:eastAsia="zh-CN" w:bidi="ar-SA"/>
        </w:rPr>
        <w:t>万元，涉及4个项目，《云溪年鉴》编印5万元,档案数字化5.56万元,</w:t>
      </w:r>
      <w:r>
        <w:rPr>
          <w:rFonts w:hint="eastAsia" w:ascii="仿宋_GB2312" w:hAnsi="仿宋_GB2312" w:eastAsia="仿宋_GB2312" w:cs="仿宋_GB2312"/>
          <w:b w:val="0"/>
          <w:bCs w:val="0"/>
          <w:color w:val="auto"/>
          <w:sz w:val="32"/>
          <w:szCs w:val="32"/>
          <w:lang w:val="en-US" w:eastAsia="zh-CN"/>
        </w:rPr>
        <w:t>档案馆基础设施维护1.86万元，《今古云溪》经费9.57万元</w:t>
      </w:r>
      <w:r>
        <w:rPr>
          <w:rFonts w:hint="eastAsia" w:ascii="仿宋_GB2312" w:hAnsi="仿宋_GB2312" w:eastAsia="仿宋_GB2312" w:cs="仿宋_GB2312"/>
          <w:b w:val="0"/>
          <w:bCs w:val="0"/>
          <w:color w:val="auto"/>
          <w:kern w:val="2"/>
          <w:sz w:val="32"/>
          <w:szCs w:val="32"/>
          <w:lang w:val="en-US" w:eastAsia="zh-CN" w:bidi="ar-SA"/>
        </w:rPr>
        <w:t>。</w:t>
      </w:r>
    </w:p>
    <w:p>
      <w:pPr>
        <w:pStyle w:val="3"/>
        <w:bidi w:val="0"/>
        <w:rPr>
          <w:rFonts w:hint="eastAsia"/>
        </w:rPr>
      </w:pPr>
      <w:r>
        <w:t>（三）</w:t>
      </w:r>
      <w:r>
        <w:rPr>
          <w:rFonts w:hint="eastAsia"/>
        </w:rPr>
        <w:t>“三公”经费的使用和管理情况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单位2023年严格贯彻中央八项规定精神，厉行节约。“三公”经费的使用严格按照文件范围执行，财务人员严把票据审核的关卡，确保资金的合理使用。2023年初财政批复局机关“三公”经费预算数为1.07万元，其中：公务接待费1.07万元、因公出国（境）费用0万元、公务用车购置及运行费0万元。全年决算单位支出“三公”经费为1.07万元，其中：公务接待费1.07万元、因公出国（境）费用0万元、公务用车购置及运行费0万元。</w:t>
      </w:r>
    </w:p>
    <w:p>
      <w:pPr>
        <w:pStyle w:val="2"/>
        <w:bidi w:val="0"/>
        <w:rPr>
          <w:rFonts w:hint="eastAsia"/>
        </w:rPr>
      </w:pPr>
      <w:r>
        <w:rPr>
          <w:rFonts w:hint="eastAsia"/>
        </w:rPr>
        <w:t>三、政府性基金预算支出情况</w:t>
      </w:r>
    </w:p>
    <w:p>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pPr>
        <w:pStyle w:val="2"/>
        <w:bidi w:val="0"/>
        <w:rPr>
          <w:rFonts w:hint="eastAsia"/>
        </w:rPr>
      </w:pPr>
      <w:r>
        <w:rPr>
          <w:rFonts w:hint="eastAsia"/>
        </w:rPr>
        <w:t>四、国有资本经营预算支出情况</w:t>
      </w:r>
    </w:p>
    <w:p>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pPr>
        <w:pStyle w:val="2"/>
        <w:bidi w:val="0"/>
        <w:rPr>
          <w:rFonts w:hint="eastAsia"/>
        </w:rPr>
      </w:pPr>
      <w:r>
        <w:rPr>
          <w:rFonts w:hint="eastAsia"/>
        </w:rPr>
        <w:t>五、社会保险基金预算支出情况</w:t>
      </w:r>
    </w:p>
    <w:p>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pPr>
        <w:pStyle w:val="2"/>
        <w:bidi w:val="0"/>
        <w:rPr>
          <w:rFonts w:hint="eastAsia"/>
        </w:rPr>
      </w:pPr>
      <w:r>
        <w:rPr>
          <w:rFonts w:hint="eastAsia"/>
        </w:rPr>
        <w:t>六、部门整体支出绩效情况</w:t>
      </w:r>
    </w:p>
    <w:p>
      <w:pPr>
        <w:pStyle w:val="3"/>
        <w:bidi w:val="0"/>
        <w:rPr>
          <w:rFonts w:hint="default"/>
        </w:rPr>
      </w:pPr>
      <w:r>
        <w:rPr>
          <w:rFonts w:hint="default"/>
        </w:rPr>
        <w:t>（一）综合评价结论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经自评，2023年度我单位部门整体支出绩效评价结论为“优”，自查评分为100分。</w:t>
      </w:r>
    </w:p>
    <w:p>
      <w:pPr>
        <w:pStyle w:val="3"/>
        <w:bidi w:val="0"/>
        <w:rPr>
          <w:rFonts w:hint="default"/>
        </w:rPr>
      </w:pPr>
      <w:r>
        <w:rPr>
          <w:rFonts w:hint="default"/>
        </w:rPr>
        <w:t>（二）评价指标分析</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20" w:firstLineChars="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一是全面完成史志年鉴工作。《云溪年鉴（2023）》已完成资料的征集、整理、编纂，联系出版发行，即将付印；每月编辑《大事记》，及时报送区领导及四大家；组织召开党史联络专题座谈会2次，分别就《湘北第一坊》、双花村红色教育基地建设、刘璈墓恢复重建等有关史料开展讨论交流，《湘北第一坊—坪田“乐善好施”牌坊》这一文史专著已完成印刷，免费赠送给省、市文史有关部门，各镇（街道）、区直及驻区有关单位；先后多次到陆城镇指导督促《陆城镇志》的编纂，指导协助区总工会等编纂部门工作志。二是有效推进档案管理服务。先后接收区巡察办、司法局近2000卷档案入馆；档案数字化工作有序进行；加强档案业务指导，分别对区水利局、交通局、司法局、市场监管局、陆城镇和长岭街道等单位档案整理工作进行指导；不断提升档案服务水平，力所能及为群众提供档案利用服务；强化档案实体安全和信息安全。三是积极完成区委区政府中心工作。克服工作人员少的困难，按要求积极参加全国文明城市、国家卫生城市“双创”工作，认真完成扶贫帮困等工作任务</w:t>
      </w:r>
      <w:bookmarkStart w:id="0" w:name="_GoBack"/>
      <w:bookmarkEnd w:id="0"/>
      <w:r>
        <w:rPr>
          <w:rFonts w:hint="eastAsia" w:ascii="仿宋_GB2312" w:hAnsi="仿宋_GB2312" w:eastAsia="仿宋_GB2312" w:cs="仿宋_GB2312"/>
          <w:b w:val="0"/>
          <w:bCs w:val="0"/>
          <w:color w:val="auto"/>
          <w:sz w:val="32"/>
          <w:szCs w:val="32"/>
          <w:lang w:val="en-US" w:eastAsia="zh-CN"/>
        </w:rPr>
        <w:t>。</w:t>
      </w:r>
    </w:p>
    <w:p>
      <w:pPr>
        <w:pStyle w:val="2"/>
        <w:bidi w:val="0"/>
        <w:ind w:left="0" w:leftChars="0" w:firstLine="0" w:firstLineChars="0"/>
        <w:rPr>
          <w:rFonts w:hint="eastAsia"/>
        </w:rPr>
      </w:pPr>
      <w:r>
        <w:rPr>
          <w:rFonts w:hint="eastAsia"/>
        </w:rPr>
        <w:t>七、存在的问题及原因分析</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2023年我单位无预算支出执行偏离绩效目标的情况。</w:t>
      </w:r>
    </w:p>
    <w:p>
      <w:pPr>
        <w:pStyle w:val="2"/>
        <w:bidi w:val="0"/>
        <w:ind w:left="0" w:leftChars="0" w:firstLine="0" w:firstLineChars="0"/>
        <w:rPr>
          <w:rFonts w:hint="eastAsia"/>
        </w:rPr>
      </w:pPr>
      <w:r>
        <w:rPr>
          <w:rFonts w:hint="eastAsia"/>
        </w:rPr>
        <w:t>八、下一步改进措施</w:t>
      </w:r>
    </w:p>
    <w:p>
      <w:pPr>
        <w:pStyle w:val="14"/>
        <w:spacing w:line="600" w:lineRule="exact"/>
        <w:ind w:firstLine="643"/>
        <w:rPr>
          <w:rFonts w:hint="eastAsia" w:ascii="仿宋_GB2312" w:eastAsia="仿宋_GB2312"/>
          <w:color w:val="000000"/>
          <w:sz w:val="32"/>
          <w:szCs w:val="32"/>
        </w:rPr>
      </w:pPr>
      <w:r>
        <w:rPr>
          <w:rFonts w:hint="eastAsia" w:ascii="仿宋_GB2312" w:eastAsia="仿宋_GB2312"/>
          <w:color w:val="000000"/>
          <w:sz w:val="32"/>
          <w:szCs w:val="32"/>
          <w:lang w:val="en-US" w:eastAsia="zh-CN"/>
        </w:rPr>
        <w:t>无。</w:t>
      </w:r>
    </w:p>
    <w:p>
      <w:pPr>
        <w:pStyle w:val="2"/>
        <w:bidi w:val="0"/>
        <w:ind w:left="0" w:leftChars="0" w:firstLine="0" w:firstLineChars="0"/>
        <w:rPr>
          <w:rFonts w:hint="eastAsia"/>
          <w:lang w:val="en-US" w:eastAsia="en-US"/>
        </w:rPr>
      </w:pPr>
      <w:r>
        <w:rPr>
          <w:rFonts w:hint="eastAsia"/>
          <w:lang w:val="en-US" w:eastAsia="en-US"/>
        </w:rPr>
        <w:t>九、其他需要说明的情况</w:t>
      </w:r>
    </w:p>
    <w:p>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9"/>
        <w:sz w:val="24"/>
        <w:szCs w:val="24"/>
      </w:rPr>
    </w:pPr>
    <w:r>
      <w:rPr>
        <w:rStyle w:val="9"/>
        <w:rFonts w:hint="eastAsia"/>
        <w:sz w:val="24"/>
        <w:szCs w:val="24"/>
      </w:rPr>
      <w:t xml:space="preserve">— </w:t>
    </w:r>
    <w:r>
      <w:rPr>
        <w:sz w:val="24"/>
        <w:szCs w:val="24"/>
      </w:rPr>
      <w:fldChar w:fldCharType="begin"/>
    </w:r>
    <w:r>
      <w:rPr>
        <w:rStyle w:val="9"/>
        <w:sz w:val="24"/>
        <w:szCs w:val="24"/>
      </w:rPr>
      <w:instrText xml:space="preserve">PAGE  </w:instrText>
    </w:r>
    <w:r>
      <w:rPr>
        <w:sz w:val="24"/>
        <w:szCs w:val="24"/>
      </w:rPr>
      <w:fldChar w:fldCharType="separate"/>
    </w:r>
    <w:r>
      <w:rPr>
        <w:rStyle w:val="9"/>
        <w:sz w:val="24"/>
        <w:szCs w:val="24"/>
      </w:rPr>
      <w:t>2</w:t>
    </w:r>
    <w:r>
      <w:rPr>
        <w:sz w:val="24"/>
        <w:szCs w:val="24"/>
      </w:rPr>
      <w:fldChar w:fldCharType="end"/>
    </w:r>
    <w:r>
      <w:rPr>
        <w:rStyle w:val="9"/>
        <w:rFonts w:hint="eastAsia"/>
        <w:sz w:val="24"/>
        <w:szCs w:val="24"/>
      </w:rPr>
      <w:t xml:space="preserve"> —</w:t>
    </w:r>
  </w:p>
  <w:p>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pPr>
    <w:r>
      <w:fldChar w:fldCharType="begin"/>
    </w:r>
    <w:r>
      <w:instrText xml:space="preserve">PAGE  </w:instrText>
    </w:r>
    <w:r>
      <w:fldChar w:fldCharType="separate"/>
    </w:r>
    <w:r>
      <w:t>- 15 -</w:t>
    </w:r>
    <w:r>
      <w:fldChar w:fldCharType="end"/>
    </w:r>
  </w:p>
  <w:p>
    <w:pP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976376"/>
    <w:multiLevelType w:val="singleLevel"/>
    <w:tmpl w:val="DC976376"/>
    <w:lvl w:ilvl="0" w:tentative="0">
      <w:start w:val="2"/>
      <w:numFmt w:val="chineseCounting"/>
      <w:suff w:val="nothing"/>
      <w:lvlText w:val="%1、"/>
      <w:lvlJc w:val="left"/>
      <w:rPr>
        <w:rFonts w:hint="eastAsia"/>
      </w:rPr>
    </w:lvl>
  </w:abstractNum>
  <w:abstractNum w:abstractNumId="1">
    <w:nsid w:val="387498EA"/>
    <w:multiLevelType w:val="singleLevel"/>
    <w:tmpl w:val="387498EA"/>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32B47A9"/>
    <w:rsid w:val="03AA1A5C"/>
    <w:rsid w:val="05375E6B"/>
    <w:rsid w:val="0C791C75"/>
    <w:rsid w:val="11DD21FB"/>
    <w:rsid w:val="12524FF3"/>
    <w:rsid w:val="152C2AC9"/>
    <w:rsid w:val="1711679D"/>
    <w:rsid w:val="186A0D56"/>
    <w:rsid w:val="1D470521"/>
    <w:rsid w:val="20756E2D"/>
    <w:rsid w:val="27D863C0"/>
    <w:rsid w:val="2AB54840"/>
    <w:rsid w:val="2AE61515"/>
    <w:rsid w:val="2D7E77E3"/>
    <w:rsid w:val="2DD67B47"/>
    <w:rsid w:val="38D17A67"/>
    <w:rsid w:val="3DE6565C"/>
    <w:rsid w:val="41203882"/>
    <w:rsid w:val="42075CA8"/>
    <w:rsid w:val="447A08AC"/>
    <w:rsid w:val="456D6663"/>
    <w:rsid w:val="45795F75"/>
    <w:rsid w:val="4E8B1F67"/>
    <w:rsid w:val="55BA31FE"/>
    <w:rsid w:val="596423C7"/>
    <w:rsid w:val="5CC772D2"/>
    <w:rsid w:val="5F663B83"/>
    <w:rsid w:val="5F8D53A3"/>
    <w:rsid w:val="624A5785"/>
    <w:rsid w:val="624F2C18"/>
    <w:rsid w:val="63660064"/>
    <w:rsid w:val="63E53BC8"/>
    <w:rsid w:val="64673F7C"/>
    <w:rsid w:val="65D00FC6"/>
    <w:rsid w:val="69C12CD2"/>
    <w:rsid w:val="6B38404F"/>
    <w:rsid w:val="6B8A28E3"/>
    <w:rsid w:val="73C70602"/>
    <w:rsid w:val="76C92F4B"/>
    <w:rsid w:val="785771FF"/>
    <w:rsid w:val="787E1F69"/>
    <w:rsid w:val="78A50E3F"/>
    <w:rsid w:val="7AAC2882"/>
    <w:rsid w:val="7C582B10"/>
    <w:rsid w:val="7DAD0FE3"/>
    <w:rsid w:val="7DED5D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Lines="0" w:beforeAutospacing="0" w:afterLines="0" w:afterAutospacing="0" w:line="560" w:lineRule="exact"/>
      <w:ind w:firstLine="640" w:firstLineChars="200"/>
      <w:outlineLvl w:val="0"/>
    </w:pPr>
    <w:rPr>
      <w:rFonts w:eastAsia="黑体" w:asciiTheme="minorAscii" w:hAnsiTheme="minorAscii"/>
      <w:b/>
      <w:kern w:val="44"/>
      <w:sz w:val="32"/>
    </w:rPr>
  </w:style>
  <w:style w:type="paragraph" w:styleId="3">
    <w:name w:val="heading 2"/>
    <w:basedOn w:val="1"/>
    <w:next w:val="1"/>
    <w:autoRedefine/>
    <w:unhideWhenUsed/>
    <w:qFormat/>
    <w:uiPriority w:val="0"/>
    <w:pPr>
      <w:keepNext/>
      <w:keepLines/>
      <w:spacing w:line="560" w:lineRule="exact"/>
      <w:ind w:firstLine="200" w:firstLineChars="200"/>
      <w:outlineLvl w:val="1"/>
    </w:pPr>
    <w:rPr>
      <w:rFonts w:eastAsia="楷体_GB2312" w:asciiTheme="majorAscii" w:hAnsiTheme="majorAscii" w:cstheme="majorBidi"/>
      <w:b/>
      <w:bCs/>
      <w:sz w:val="32"/>
      <w:szCs w:val="32"/>
    </w:rPr>
  </w:style>
  <w:style w:type="paragraph" w:styleId="4">
    <w:name w:val="heading 3"/>
    <w:basedOn w:val="1"/>
    <w:next w:val="1"/>
    <w:autoRedefine/>
    <w:unhideWhenUsed/>
    <w:qFormat/>
    <w:uiPriority w:val="0"/>
    <w:pPr>
      <w:keepNext/>
      <w:keepLines/>
      <w:spacing w:beforeLines="0" w:beforeAutospacing="0" w:afterLines="0" w:afterAutospacing="0" w:line="560" w:lineRule="exact"/>
      <w:ind w:firstLine="640" w:firstLineChars="200"/>
      <w:outlineLvl w:val="2"/>
    </w:pPr>
    <w:rPr>
      <w:rFonts w:eastAsia="仿宋_GB2312" w:asciiTheme="minorAscii" w:hAnsiTheme="minorAscii"/>
      <w:sz w:val="32"/>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5">
    <w:name w:val="footer"/>
    <w:basedOn w:val="1"/>
    <w:autoRedefine/>
    <w:qFormat/>
    <w:uiPriority w:val="0"/>
    <w:pPr>
      <w:tabs>
        <w:tab w:val="center" w:pos="4153"/>
        <w:tab w:val="right" w:pos="8306"/>
      </w:tabs>
      <w:snapToGrid w:val="0"/>
      <w:jc w:val="left"/>
    </w:pPr>
    <w:rPr>
      <w:kern w:val="0"/>
      <w:sz w:val="18"/>
      <w:szCs w:val="18"/>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page number"/>
    <w:autoRedefine/>
    <w:qFormat/>
    <w:uiPriority w:val="0"/>
  </w:style>
  <w:style w:type="paragraph" w:customStyle="1" w:styleId="10">
    <w:name w:val="BodyText1I2"/>
    <w:basedOn w:val="11"/>
    <w:autoRedefine/>
    <w:qFormat/>
    <w:uiPriority w:val="0"/>
    <w:pPr>
      <w:spacing w:before="100" w:beforeAutospacing="1" w:after="0"/>
      <w:ind w:left="0" w:firstLine="420" w:firstLineChars="200"/>
    </w:pPr>
    <w:rPr>
      <w:rFonts w:ascii="Calibri" w:hAnsi="Calibri"/>
    </w:rPr>
  </w:style>
  <w:style w:type="paragraph" w:customStyle="1" w:styleId="11">
    <w:name w:val="BodyTextIndent"/>
    <w:basedOn w:val="1"/>
    <w:autoRedefine/>
    <w:qFormat/>
    <w:uiPriority w:val="0"/>
    <w:pPr>
      <w:spacing w:after="120"/>
      <w:ind w:left="420" w:leftChars="200"/>
    </w:pPr>
  </w:style>
  <w:style w:type="paragraph" w:customStyle="1" w:styleId="12">
    <w:name w:val="BodyText1I"/>
    <w:basedOn w:val="1"/>
    <w:autoRedefine/>
    <w:qFormat/>
    <w:uiPriority w:val="99"/>
    <w:pPr>
      <w:snapToGrid w:val="0"/>
      <w:spacing w:line="360" w:lineRule="auto"/>
      <w:ind w:firstLine="420" w:firstLineChars="100"/>
    </w:pPr>
    <w:rPr>
      <w:sz w:val="28"/>
      <w:szCs w:val="20"/>
    </w:rPr>
  </w:style>
  <w:style w:type="paragraph" w:customStyle="1" w:styleId="13">
    <w:name w:val="标题1"/>
    <w:basedOn w:val="3"/>
    <w:autoRedefine/>
    <w:qFormat/>
    <w:uiPriority w:val="0"/>
    <w:rPr>
      <w:rFonts w:eastAsia="黑体"/>
    </w:rPr>
  </w:style>
  <w:style w:type="paragraph" w:customStyle="1" w:styleId="14">
    <w:name w:val="List Paragraph_a0f507d5-6e28-4914-b37f-020b7d2b0f7c"/>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2335</Words>
  <Characters>2629</Characters>
  <Lines>1</Lines>
  <Paragraphs>1</Paragraphs>
  <TotalTime>0</TotalTime>
  <ScaleCrop>false</ScaleCrop>
  <LinksUpToDate>false</LinksUpToDate>
  <CharactersWithSpaces>3058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2024-05-20T07:10:00Z</dcterms:created>
  <dc:creator>HNBS-WORKER3</dc:creator>
  <cp:lastModifiedBy>XIE</cp:lastModifiedBy>
  <dcterms:modified xsi:type="dcterms:W3CDTF">2024-06-18T18:02:55Z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2EACD47548BD4DE7A4D66C6CD41716BF_13</vt:lpwstr>
  </property>
</Properties>
</file>