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8D39FC">
      <w:pPr>
        <w:pStyle w:val="2"/>
        <w:bidi w:val="0"/>
        <w:jc w:val="center"/>
        <w:rPr>
          <w:rFonts w:hint="eastAsia" w:ascii="宋体" w:hAnsi="宋体" w:eastAsia="宋体" w:cs="宋体"/>
          <w:sz w:val="11"/>
          <w:szCs w:val="11"/>
          <w:lang w:eastAsia="zh-CN"/>
        </w:rPr>
      </w:pPr>
      <w:r>
        <w:rPr>
          <w:rFonts w:hint="eastAsia"/>
          <w:lang w:val="en-US" w:eastAsia="zh-CN"/>
        </w:rPr>
        <w:t>2023年度部门整体支出绩效评价报告</w:t>
      </w:r>
    </w:p>
    <w:p w14:paraId="26C69962">
      <w:pPr>
        <w:keepNext w:val="0"/>
        <w:keepLines w:val="0"/>
        <w:pageBreakBefore w:val="0"/>
        <w:widowControl w:val="0"/>
        <w:kinsoku/>
        <w:wordWrap/>
        <w:overflowPunct/>
        <w:topLinePunct w:val="0"/>
        <w:autoSpaceDE/>
        <w:autoSpaceDN/>
        <w:bidi w:val="0"/>
        <w:adjustRightInd w:val="0"/>
        <w:snapToGrid/>
        <w:spacing w:line="360" w:lineRule="auto"/>
        <w:ind w:firstLine="640" w:firstLineChars="200"/>
        <w:textAlignment w:val="auto"/>
        <w:rPr>
          <w:rFonts w:hint="eastAsia" w:ascii="黑体" w:hAnsi="黑体" w:eastAsia="黑体" w:cs="黑体"/>
          <w:sz w:val="32"/>
          <w:szCs w:val="32"/>
        </w:rPr>
      </w:pPr>
      <w:r>
        <w:rPr>
          <w:rFonts w:hint="eastAsia" w:ascii="原版宋体" w:hAnsi="原版宋体" w:eastAsia="黑体"/>
          <w:sz w:val="32"/>
          <w:szCs w:val="32"/>
          <w:lang w:val="en-US" w:eastAsia="zh-CN" w:bidi="en-US"/>
        </w:rPr>
        <w:t>一、</w:t>
      </w:r>
      <w:r>
        <w:rPr>
          <w:rFonts w:hint="eastAsia" w:ascii="原版宋体" w:hAnsi="原版宋体" w:eastAsia="黑体"/>
          <w:sz w:val="32"/>
          <w:szCs w:val="32"/>
        </w:rPr>
        <w:t>项目</w:t>
      </w:r>
      <w:r>
        <w:rPr>
          <w:rFonts w:hint="eastAsia" w:ascii="原版宋体" w:hAnsi="原版宋体" w:eastAsia="黑体"/>
          <w:sz w:val="32"/>
          <w:szCs w:val="32"/>
          <w:lang w:eastAsia="zh-CN"/>
        </w:rPr>
        <w:t>概况</w:t>
      </w:r>
    </w:p>
    <w:p w14:paraId="50962160">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i w:val="0"/>
          <w:iCs w:val="0"/>
          <w:caps w:val="0"/>
          <w:color w:val="333333"/>
          <w:spacing w:val="0"/>
          <w:sz w:val="32"/>
          <w:szCs w:val="32"/>
          <w:shd w:val="clear" w:color="auto" w:fill="FFFFFF"/>
        </w:rPr>
        <w:t>妇幼</w:t>
      </w:r>
      <w:r>
        <w:rPr>
          <w:rFonts w:hint="eastAsia" w:ascii="仿宋_GB2312" w:hAnsi="仿宋_GB2312" w:eastAsia="仿宋_GB2312" w:cs="仿宋_GB2312"/>
          <w:b w:val="0"/>
          <w:bCs w:val="0"/>
          <w:i w:val="0"/>
          <w:iCs w:val="0"/>
          <w:caps w:val="0"/>
          <w:color w:val="333333"/>
          <w:spacing w:val="0"/>
          <w:sz w:val="32"/>
          <w:szCs w:val="32"/>
          <w:shd w:val="clear" w:color="auto" w:fill="FFFFFF"/>
          <w:lang w:eastAsia="zh-CN"/>
        </w:rPr>
        <w:t>健康管理</w:t>
      </w:r>
      <w:r>
        <w:rPr>
          <w:rFonts w:hint="eastAsia" w:ascii="仿宋_GB2312" w:hAnsi="仿宋_GB2312" w:eastAsia="仿宋_GB2312" w:cs="仿宋_GB2312"/>
          <w:b w:val="0"/>
          <w:bCs w:val="0"/>
          <w:i w:val="0"/>
          <w:iCs w:val="0"/>
          <w:caps w:val="0"/>
          <w:color w:val="333333"/>
          <w:spacing w:val="0"/>
          <w:sz w:val="32"/>
          <w:szCs w:val="32"/>
          <w:shd w:val="clear" w:color="auto" w:fill="FFFFFF"/>
        </w:rPr>
        <w:t>工作在区委，区政府及区卫</w:t>
      </w:r>
      <w:r>
        <w:rPr>
          <w:rFonts w:hint="eastAsia" w:ascii="仿宋_GB2312" w:hAnsi="仿宋_GB2312" w:eastAsia="仿宋_GB2312" w:cs="仿宋_GB2312"/>
          <w:b w:val="0"/>
          <w:bCs w:val="0"/>
          <w:i w:val="0"/>
          <w:iCs w:val="0"/>
          <w:caps w:val="0"/>
          <w:color w:val="333333"/>
          <w:spacing w:val="0"/>
          <w:sz w:val="32"/>
          <w:szCs w:val="32"/>
          <w:shd w:val="clear" w:color="auto" w:fill="FFFFFF"/>
          <w:lang w:eastAsia="zh-CN"/>
        </w:rPr>
        <w:t>健</w:t>
      </w:r>
      <w:r>
        <w:rPr>
          <w:rFonts w:hint="eastAsia" w:ascii="仿宋_GB2312" w:hAnsi="仿宋_GB2312" w:eastAsia="仿宋_GB2312" w:cs="仿宋_GB2312"/>
          <w:b w:val="0"/>
          <w:bCs w:val="0"/>
          <w:i w:val="0"/>
          <w:iCs w:val="0"/>
          <w:caps w:val="0"/>
          <w:color w:val="333333"/>
          <w:spacing w:val="0"/>
          <w:sz w:val="32"/>
          <w:szCs w:val="32"/>
          <w:shd w:val="clear" w:color="auto" w:fill="FFFFFF"/>
        </w:rPr>
        <w:t>局的领导</w:t>
      </w:r>
      <w:r>
        <w:rPr>
          <w:rFonts w:hint="eastAsia" w:ascii="仿宋_GB2312" w:hAnsi="仿宋_GB2312" w:eastAsia="仿宋_GB2312" w:cs="仿宋_GB2312"/>
          <w:b w:val="0"/>
          <w:bCs w:val="0"/>
          <w:i w:val="0"/>
          <w:iCs w:val="0"/>
          <w:caps w:val="0"/>
          <w:color w:val="333333"/>
          <w:spacing w:val="0"/>
          <w:sz w:val="32"/>
          <w:szCs w:val="32"/>
          <w:shd w:val="clear" w:color="auto" w:fill="FFFFFF"/>
          <w:lang w:eastAsia="zh-CN"/>
        </w:rPr>
        <w:t>和大力支持</w:t>
      </w:r>
      <w:r>
        <w:rPr>
          <w:rFonts w:hint="eastAsia" w:ascii="仿宋_GB2312" w:hAnsi="仿宋_GB2312" w:eastAsia="仿宋_GB2312" w:cs="仿宋_GB2312"/>
          <w:b w:val="0"/>
          <w:bCs w:val="0"/>
          <w:i w:val="0"/>
          <w:iCs w:val="0"/>
          <w:caps w:val="0"/>
          <w:color w:val="333333"/>
          <w:spacing w:val="0"/>
          <w:sz w:val="32"/>
          <w:szCs w:val="32"/>
          <w:shd w:val="clear" w:color="auto" w:fill="FFFFFF"/>
        </w:rPr>
        <w:t>下，以提高出生人口素质，降低孕产妇</w:t>
      </w:r>
      <w:r>
        <w:rPr>
          <w:rFonts w:hint="eastAsia" w:ascii="仿宋_GB2312" w:hAnsi="仿宋_GB2312" w:eastAsia="仿宋_GB2312" w:cs="仿宋_GB2312"/>
          <w:b w:val="0"/>
          <w:bCs w:val="0"/>
          <w:i w:val="0"/>
          <w:iCs w:val="0"/>
          <w:caps w:val="0"/>
          <w:color w:val="333333"/>
          <w:spacing w:val="0"/>
          <w:sz w:val="32"/>
          <w:szCs w:val="32"/>
          <w:shd w:val="clear" w:color="auto" w:fill="FFFFFF"/>
          <w:lang w:eastAsia="zh-CN"/>
        </w:rPr>
        <w:t>、</w:t>
      </w:r>
      <w:r>
        <w:rPr>
          <w:rFonts w:hint="eastAsia" w:ascii="仿宋_GB2312" w:hAnsi="仿宋_GB2312" w:eastAsia="仿宋_GB2312" w:cs="仿宋_GB2312"/>
          <w:b w:val="0"/>
          <w:bCs w:val="0"/>
          <w:i w:val="0"/>
          <w:iCs w:val="0"/>
          <w:caps w:val="0"/>
          <w:color w:val="333333"/>
          <w:spacing w:val="0"/>
          <w:sz w:val="32"/>
          <w:szCs w:val="32"/>
          <w:shd w:val="clear" w:color="auto" w:fill="FFFFFF"/>
        </w:rPr>
        <w:t>婴幼儿死亡率及新生儿出生缺陷为重点，以妇女儿童健康服务为宗旨，认真贯彻妇幼</w:t>
      </w:r>
      <w:r>
        <w:rPr>
          <w:rFonts w:hint="eastAsia" w:ascii="仿宋_GB2312" w:hAnsi="仿宋_GB2312" w:eastAsia="仿宋_GB2312" w:cs="仿宋_GB2312"/>
          <w:b w:val="0"/>
          <w:bCs w:val="0"/>
          <w:i w:val="0"/>
          <w:iCs w:val="0"/>
          <w:caps w:val="0"/>
          <w:color w:val="333333"/>
          <w:spacing w:val="0"/>
          <w:sz w:val="32"/>
          <w:szCs w:val="32"/>
          <w:shd w:val="clear" w:color="auto" w:fill="FFFFFF"/>
          <w:lang w:eastAsia="zh-CN"/>
        </w:rPr>
        <w:t>健康工</w:t>
      </w:r>
      <w:r>
        <w:rPr>
          <w:rFonts w:hint="eastAsia" w:ascii="仿宋_GB2312" w:hAnsi="仿宋_GB2312" w:eastAsia="仿宋_GB2312" w:cs="仿宋_GB2312"/>
          <w:b w:val="0"/>
          <w:bCs w:val="0"/>
          <w:i w:val="0"/>
          <w:iCs w:val="0"/>
          <w:caps w:val="0"/>
          <w:color w:val="333333"/>
          <w:spacing w:val="0"/>
          <w:sz w:val="32"/>
          <w:szCs w:val="32"/>
          <w:shd w:val="clear" w:color="auto" w:fill="FFFFFF"/>
        </w:rPr>
        <w:t>作方针，依法规范妇幼</w:t>
      </w:r>
      <w:r>
        <w:rPr>
          <w:rFonts w:hint="eastAsia" w:ascii="仿宋_GB2312" w:hAnsi="仿宋_GB2312" w:eastAsia="仿宋_GB2312" w:cs="仿宋_GB2312"/>
          <w:b w:val="0"/>
          <w:bCs w:val="0"/>
          <w:i w:val="0"/>
          <w:iCs w:val="0"/>
          <w:caps w:val="0"/>
          <w:color w:val="333333"/>
          <w:spacing w:val="0"/>
          <w:sz w:val="32"/>
          <w:szCs w:val="32"/>
          <w:shd w:val="clear" w:color="auto" w:fill="FFFFFF"/>
          <w:lang w:eastAsia="zh-CN"/>
        </w:rPr>
        <w:t>健康</w:t>
      </w:r>
      <w:r>
        <w:rPr>
          <w:rFonts w:hint="eastAsia" w:ascii="仿宋_GB2312" w:hAnsi="仿宋_GB2312" w:eastAsia="仿宋_GB2312" w:cs="仿宋_GB2312"/>
          <w:b w:val="0"/>
          <w:bCs w:val="0"/>
          <w:i w:val="0"/>
          <w:iCs w:val="0"/>
          <w:caps w:val="0"/>
          <w:color w:val="333333"/>
          <w:spacing w:val="0"/>
          <w:sz w:val="32"/>
          <w:szCs w:val="32"/>
          <w:shd w:val="clear" w:color="auto" w:fill="FFFFFF"/>
        </w:rPr>
        <w:t>各项管理与服务，使我区</w:t>
      </w:r>
      <w:r>
        <w:rPr>
          <w:rFonts w:hint="eastAsia" w:ascii="仿宋_GB2312" w:hAnsi="仿宋_GB2312" w:eastAsia="仿宋_GB2312" w:cs="仿宋_GB2312"/>
          <w:b w:val="0"/>
          <w:bCs w:val="0"/>
          <w:i w:val="0"/>
          <w:iCs w:val="0"/>
          <w:caps w:val="0"/>
          <w:color w:val="333333"/>
          <w:spacing w:val="0"/>
          <w:sz w:val="32"/>
          <w:szCs w:val="32"/>
          <w:shd w:val="clear" w:color="auto" w:fill="FFFFFF"/>
          <w:lang w:eastAsia="zh-CN"/>
        </w:rPr>
        <w:t>妇</w:t>
      </w:r>
      <w:r>
        <w:rPr>
          <w:rFonts w:hint="eastAsia" w:ascii="仿宋_GB2312" w:hAnsi="仿宋_GB2312" w:eastAsia="仿宋_GB2312" w:cs="仿宋_GB2312"/>
          <w:b w:val="0"/>
          <w:bCs w:val="0"/>
          <w:i w:val="0"/>
          <w:iCs w:val="0"/>
          <w:caps w:val="0"/>
          <w:color w:val="333333"/>
          <w:spacing w:val="0"/>
          <w:sz w:val="32"/>
          <w:szCs w:val="32"/>
          <w:shd w:val="clear" w:color="auto" w:fill="FFFFFF"/>
        </w:rPr>
        <w:t>女儿童整体健康水平</w:t>
      </w:r>
      <w:r>
        <w:rPr>
          <w:rFonts w:hint="eastAsia" w:ascii="仿宋_GB2312" w:hAnsi="仿宋_GB2312" w:eastAsia="仿宋_GB2312" w:cs="仿宋_GB2312"/>
          <w:b w:val="0"/>
          <w:bCs w:val="0"/>
          <w:i w:val="0"/>
          <w:iCs w:val="0"/>
          <w:caps w:val="0"/>
          <w:color w:val="333333"/>
          <w:spacing w:val="0"/>
          <w:sz w:val="32"/>
          <w:szCs w:val="32"/>
          <w:shd w:val="clear" w:color="auto" w:fill="FFFFFF"/>
          <w:lang w:eastAsia="zh-CN"/>
        </w:rPr>
        <w:t>显</w:t>
      </w:r>
      <w:r>
        <w:rPr>
          <w:rFonts w:hint="eastAsia" w:ascii="仿宋_GB2312" w:hAnsi="仿宋_GB2312" w:eastAsia="仿宋_GB2312" w:cs="仿宋_GB2312"/>
          <w:b w:val="0"/>
          <w:bCs w:val="0"/>
          <w:i w:val="0"/>
          <w:iCs w:val="0"/>
          <w:caps w:val="0"/>
          <w:color w:val="333333"/>
          <w:spacing w:val="0"/>
          <w:sz w:val="32"/>
          <w:szCs w:val="32"/>
          <w:shd w:val="clear" w:color="auto" w:fill="FFFFFF"/>
        </w:rPr>
        <w:t>著提高</w:t>
      </w:r>
      <w:r>
        <w:rPr>
          <w:rFonts w:hint="eastAsia" w:ascii="仿宋_GB2312" w:hAnsi="仿宋_GB2312" w:eastAsia="仿宋_GB2312" w:cs="仿宋_GB2312"/>
          <w:b w:val="0"/>
          <w:bCs w:val="0"/>
          <w:i w:val="0"/>
          <w:iCs w:val="0"/>
          <w:caps w:val="0"/>
          <w:color w:val="333333"/>
          <w:spacing w:val="0"/>
          <w:sz w:val="32"/>
          <w:szCs w:val="32"/>
          <w:shd w:val="clear" w:color="auto" w:fill="FFFFFF"/>
          <w:lang w:eastAsia="zh-CN"/>
        </w:rPr>
        <w:t>。</w:t>
      </w:r>
      <w:r>
        <w:rPr>
          <w:rFonts w:hint="eastAsia" w:ascii="仿宋_GB2312" w:hAnsi="仿宋_GB2312" w:eastAsia="仿宋_GB2312" w:cs="仿宋_GB2312"/>
          <w:b w:val="0"/>
          <w:bCs w:val="0"/>
          <w:i w:val="0"/>
          <w:iCs w:val="0"/>
          <w:caps w:val="0"/>
          <w:color w:val="333333"/>
          <w:spacing w:val="0"/>
          <w:sz w:val="32"/>
          <w:szCs w:val="32"/>
          <w:shd w:val="clear" w:color="auto" w:fill="FFFFFF"/>
        </w:rPr>
        <w:t>20</w:t>
      </w:r>
      <w:r>
        <w:rPr>
          <w:rFonts w:hint="eastAsia" w:ascii="仿宋_GB2312" w:hAnsi="仿宋_GB2312" w:eastAsia="仿宋_GB2312" w:cs="仿宋_GB2312"/>
          <w:b w:val="0"/>
          <w:bCs w:val="0"/>
          <w:i w:val="0"/>
          <w:iCs w:val="0"/>
          <w:caps w:val="0"/>
          <w:color w:val="333333"/>
          <w:spacing w:val="0"/>
          <w:sz w:val="32"/>
          <w:szCs w:val="32"/>
          <w:shd w:val="clear" w:color="auto" w:fill="FFFFFF"/>
          <w:lang w:val="en-US" w:eastAsia="zh-CN"/>
        </w:rPr>
        <w:t>23</w:t>
      </w:r>
      <w:r>
        <w:rPr>
          <w:rFonts w:hint="eastAsia" w:ascii="仿宋_GB2312" w:hAnsi="仿宋_GB2312" w:eastAsia="仿宋_GB2312" w:cs="仿宋_GB2312"/>
          <w:b w:val="0"/>
          <w:bCs w:val="0"/>
          <w:i w:val="0"/>
          <w:iCs w:val="0"/>
          <w:caps w:val="0"/>
          <w:color w:val="333333"/>
          <w:spacing w:val="0"/>
          <w:sz w:val="32"/>
          <w:szCs w:val="32"/>
          <w:shd w:val="clear" w:color="auto" w:fill="FFFFFF"/>
        </w:rPr>
        <w:t>年投入两癌检查</w:t>
      </w:r>
      <w:r>
        <w:rPr>
          <w:rFonts w:hint="eastAsia" w:ascii="仿宋_GB2312" w:hAnsi="仿宋_GB2312" w:eastAsia="仿宋_GB2312" w:cs="仿宋_GB2312"/>
          <w:b w:val="0"/>
          <w:bCs w:val="0"/>
          <w:i w:val="0"/>
          <w:iCs w:val="0"/>
          <w:caps w:val="0"/>
          <w:color w:val="333333"/>
          <w:spacing w:val="0"/>
          <w:sz w:val="32"/>
          <w:szCs w:val="32"/>
          <w:shd w:val="clear" w:color="auto" w:fill="FFFFFF"/>
          <w:lang w:eastAsia="zh-CN"/>
        </w:rPr>
        <w:t>区</w:t>
      </w:r>
      <w:r>
        <w:rPr>
          <w:rFonts w:hint="eastAsia" w:ascii="仿宋_GB2312" w:hAnsi="仿宋_GB2312" w:eastAsia="仿宋_GB2312" w:cs="仿宋_GB2312"/>
          <w:b w:val="0"/>
          <w:bCs w:val="0"/>
          <w:i w:val="0"/>
          <w:iCs w:val="0"/>
          <w:caps w:val="0"/>
          <w:color w:val="333333"/>
          <w:spacing w:val="0"/>
          <w:sz w:val="32"/>
          <w:szCs w:val="32"/>
          <w:shd w:val="clear" w:color="auto" w:fill="FFFFFF"/>
        </w:rPr>
        <w:t>级资</w:t>
      </w:r>
      <w:r>
        <w:rPr>
          <w:rFonts w:hint="eastAsia" w:ascii="仿宋_GB2312" w:hAnsi="仿宋_GB2312" w:eastAsia="仿宋_GB2312" w:cs="仿宋_GB2312"/>
          <w:b w:val="0"/>
          <w:bCs w:val="0"/>
          <w:i w:val="0"/>
          <w:iCs w:val="0"/>
          <w:caps w:val="0"/>
          <w:color w:val="333333"/>
          <w:spacing w:val="0"/>
          <w:sz w:val="32"/>
          <w:szCs w:val="32"/>
          <w:shd w:val="clear" w:color="auto" w:fill="FFFFFF"/>
          <w:lang w:val="en-US" w:eastAsia="zh-CN"/>
        </w:rPr>
        <w:t>金56</w:t>
      </w:r>
      <w:r>
        <w:rPr>
          <w:rFonts w:hint="eastAsia" w:ascii="仿宋_GB2312" w:hAnsi="仿宋_GB2312" w:eastAsia="仿宋_GB2312" w:cs="仿宋_GB2312"/>
          <w:b w:val="0"/>
          <w:bCs w:val="0"/>
          <w:i w:val="0"/>
          <w:iCs w:val="0"/>
          <w:caps w:val="0"/>
          <w:color w:val="333333"/>
          <w:spacing w:val="0"/>
          <w:sz w:val="32"/>
          <w:szCs w:val="32"/>
          <w:shd w:val="clear" w:color="auto" w:fill="FFFFFF"/>
        </w:rPr>
        <w:t>万元，实际使用</w:t>
      </w:r>
      <w:r>
        <w:rPr>
          <w:rFonts w:hint="eastAsia" w:ascii="仿宋_GB2312" w:hAnsi="仿宋_GB2312" w:eastAsia="仿宋_GB2312" w:cs="仿宋_GB2312"/>
          <w:b w:val="0"/>
          <w:bCs w:val="0"/>
          <w:i w:val="0"/>
          <w:iCs w:val="0"/>
          <w:caps w:val="0"/>
          <w:color w:val="333333"/>
          <w:spacing w:val="0"/>
          <w:sz w:val="32"/>
          <w:szCs w:val="32"/>
          <w:shd w:val="clear" w:color="auto" w:fill="FFFFFF"/>
          <w:lang w:val="en-US" w:eastAsia="zh-CN"/>
        </w:rPr>
        <w:t>56</w:t>
      </w:r>
      <w:r>
        <w:rPr>
          <w:rFonts w:hint="eastAsia" w:ascii="仿宋_GB2312" w:hAnsi="仿宋_GB2312" w:eastAsia="仿宋_GB2312" w:cs="仿宋_GB2312"/>
          <w:b w:val="0"/>
          <w:bCs w:val="0"/>
          <w:i w:val="0"/>
          <w:iCs w:val="0"/>
          <w:caps w:val="0"/>
          <w:color w:val="333333"/>
          <w:spacing w:val="0"/>
          <w:sz w:val="32"/>
          <w:szCs w:val="32"/>
          <w:shd w:val="clear" w:color="auto" w:fill="FFFFFF"/>
        </w:rPr>
        <w:t>万元。</w:t>
      </w:r>
      <w:r>
        <w:rPr>
          <w:rFonts w:hint="eastAsia" w:ascii="仿宋_GB2312" w:hAnsi="仿宋_GB2312" w:eastAsia="仿宋_GB2312" w:cs="仿宋_GB2312"/>
          <w:b w:val="0"/>
          <w:bCs w:val="0"/>
          <w:sz w:val="32"/>
          <w:szCs w:val="32"/>
          <w:lang w:val="en-US" w:eastAsia="zh-CN"/>
        </w:rPr>
        <w:t>预防艾滋病、梅毒和乙肝母婴传播项目省级资金4万元，实际使用4万元。</w:t>
      </w:r>
      <w:r>
        <w:rPr>
          <w:rFonts w:hint="eastAsia" w:ascii="仿宋_GB2312" w:hAnsi="仿宋_GB2312" w:eastAsia="仿宋_GB2312" w:cs="仿宋_GB2312"/>
          <w:b w:val="0"/>
          <w:bCs w:val="0"/>
          <w:i w:val="0"/>
          <w:iCs w:val="0"/>
          <w:caps w:val="0"/>
          <w:color w:val="333333"/>
          <w:spacing w:val="0"/>
          <w:sz w:val="32"/>
          <w:szCs w:val="32"/>
          <w:shd w:val="clear" w:color="auto" w:fill="FFFFFF"/>
          <w:lang w:val="en-US" w:eastAsia="zh-CN"/>
        </w:rPr>
        <w:t>基本避孕服务项目（含免费提供基本避孕药具和免费实施基本避孕手术）省级资金24.28万元，实际使用24.28万元。</w:t>
      </w:r>
      <w:r>
        <w:rPr>
          <w:rFonts w:hint="eastAsia" w:ascii="仿宋_GB2312" w:hAnsi="仿宋_GB2312" w:eastAsia="仿宋_GB2312" w:cs="仿宋_GB2312"/>
          <w:b w:val="0"/>
          <w:bCs w:val="0"/>
          <w:sz w:val="32"/>
          <w:szCs w:val="32"/>
          <w:lang w:val="en-US" w:eastAsia="zh-CN"/>
        </w:rPr>
        <w:t>免费孕前优生健康检查项目省级资金16.8万元，区级资金5.76万元，合计22.56万元，已使用22.56万元。增补叶酸预防神经管缺陷项目省级资金1.22万元，实际使用1.22万元。</w:t>
      </w:r>
    </w:p>
    <w:p w14:paraId="602DA18C">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原版宋体" w:hAnsi="原版宋体" w:eastAsia="黑体"/>
          <w:sz w:val="32"/>
          <w:szCs w:val="32"/>
          <w:lang w:val="en-US" w:eastAsia="zh-CN" w:bidi="en-US"/>
        </w:rPr>
      </w:pPr>
      <w:r>
        <w:rPr>
          <w:rFonts w:hint="eastAsia" w:ascii="原版宋体" w:hAnsi="原版宋体" w:eastAsia="黑体"/>
          <w:sz w:val="32"/>
          <w:szCs w:val="32"/>
          <w:lang w:val="en-US" w:eastAsia="zh-CN" w:bidi="en-US"/>
        </w:rPr>
        <w:t>二、项目实施及管理情况</w:t>
      </w:r>
    </w:p>
    <w:p w14:paraId="3266A6FC">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60" w:lineRule="auto"/>
        <w:ind w:right="0" w:firstLine="640" w:firstLineChars="200"/>
        <w:jc w:val="both"/>
        <w:textAlignment w:val="auto"/>
        <w:rPr>
          <w:rFonts w:hint="eastAsia" w:ascii="仿宋_GB2312" w:hAnsi="仿宋_GB2312" w:eastAsia="仿宋_GB2312" w:cs="仿宋_GB2312"/>
          <w:b w:val="0"/>
          <w:bCs w:val="0"/>
          <w:color w:val="000000"/>
          <w:kern w:val="0"/>
          <w:sz w:val="32"/>
          <w:szCs w:val="32"/>
          <w:lang w:val="en-US" w:eastAsia="zh-CN" w:bidi="en-US"/>
        </w:rPr>
      </w:pPr>
      <w:r>
        <w:rPr>
          <w:rFonts w:hint="eastAsia" w:ascii="仿宋_GB2312" w:hAnsi="仿宋_GB2312" w:eastAsia="仿宋_GB2312" w:cs="仿宋_GB2312"/>
          <w:b w:val="0"/>
          <w:bCs w:val="0"/>
          <w:color w:val="000000"/>
          <w:kern w:val="0"/>
          <w:sz w:val="32"/>
          <w:szCs w:val="32"/>
          <w:lang w:val="en-US" w:eastAsia="zh-CN" w:bidi="en-US"/>
        </w:rPr>
        <w:t>1、立项依据充分、立项程序规范、绩效目标合理、绩效指标明确预算编制科学、资金分配合理。</w:t>
      </w:r>
    </w:p>
    <w:p w14:paraId="29188F9D">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60" w:lineRule="auto"/>
        <w:ind w:right="0" w:firstLine="640" w:firstLineChars="200"/>
        <w:jc w:val="both"/>
        <w:textAlignment w:val="auto"/>
        <w:rPr>
          <w:rFonts w:hint="eastAsia" w:ascii="仿宋_GB2312" w:hAnsi="仿宋_GB2312" w:eastAsia="仿宋_GB2312" w:cs="仿宋_GB2312"/>
          <w:b w:val="0"/>
          <w:bCs w:val="0"/>
          <w:i w:val="0"/>
          <w:iCs w:val="0"/>
          <w:caps w:val="0"/>
          <w:color w:val="333333"/>
          <w:spacing w:val="0"/>
          <w:kern w:val="0"/>
          <w:sz w:val="32"/>
          <w:szCs w:val="32"/>
          <w:shd w:val="clear" w:color="auto" w:fill="FFFFFF"/>
          <w:lang w:val="en-US" w:eastAsia="zh-CN" w:bidi="en-US"/>
        </w:rPr>
      </w:pPr>
      <w:r>
        <w:rPr>
          <w:rFonts w:hint="eastAsia" w:ascii="仿宋_GB2312" w:hAnsi="仿宋_GB2312" w:eastAsia="仿宋_GB2312" w:cs="仿宋_GB2312"/>
          <w:b w:val="0"/>
          <w:bCs w:val="0"/>
          <w:color w:val="000000"/>
          <w:kern w:val="0"/>
          <w:sz w:val="32"/>
          <w:szCs w:val="32"/>
          <w:lang w:val="en-US" w:eastAsia="zh-CN" w:bidi="en-US"/>
        </w:rPr>
        <w:t>2、项目过程情况，资金共到位108.06万元；使用</w:t>
      </w:r>
      <w:r>
        <w:rPr>
          <w:rFonts w:hint="eastAsia" w:ascii="仿宋_GB2312" w:hAnsi="仿宋_GB2312" w:eastAsia="仿宋_GB2312" w:cs="仿宋_GB2312"/>
          <w:b w:val="0"/>
          <w:bCs w:val="0"/>
          <w:i w:val="0"/>
          <w:iCs w:val="0"/>
          <w:caps w:val="0"/>
          <w:color w:val="333333"/>
          <w:spacing w:val="0"/>
          <w:kern w:val="0"/>
          <w:sz w:val="32"/>
          <w:szCs w:val="32"/>
          <w:shd w:val="clear" w:color="auto" w:fill="FFFFFF"/>
          <w:lang w:val="en-US" w:eastAsia="zh-CN" w:bidi="en-US"/>
        </w:rPr>
        <w:t>108.06万元，资金到位率100%。资金使用合规、管理制度健全及执行有效。</w:t>
      </w:r>
    </w:p>
    <w:p w14:paraId="76F7A407">
      <w:pPr>
        <w:keepNext w:val="0"/>
        <w:keepLines w:val="0"/>
        <w:pageBreakBefore w:val="0"/>
        <w:widowControl/>
        <w:kinsoku/>
        <w:wordWrap/>
        <w:overflowPunct/>
        <w:topLinePunct w:val="0"/>
        <w:autoSpaceDE/>
        <w:autoSpaceDN/>
        <w:bidi w:val="0"/>
        <w:adjustRightInd w:val="0"/>
        <w:snapToGrid w:val="0"/>
        <w:spacing w:line="360" w:lineRule="auto"/>
        <w:ind w:firstLine="640" w:firstLineChars="200"/>
        <w:textAlignment w:val="auto"/>
        <w:rPr>
          <w:rFonts w:hint="eastAsia" w:ascii="仿宋_GB2312" w:hAnsi="仿宋_GB2312" w:eastAsia="仿宋_GB2312" w:cs="仿宋_GB2312"/>
          <w:b w:val="0"/>
          <w:bCs w:val="0"/>
          <w:i w:val="0"/>
          <w:iCs w:val="0"/>
          <w:caps w:val="0"/>
          <w:color w:val="333333"/>
          <w:spacing w:val="0"/>
          <w:kern w:val="0"/>
          <w:sz w:val="32"/>
          <w:szCs w:val="32"/>
          <w:highlight w:val="red"/>
          <w:shd w:val="clear" w:color="auto" w:fill="FFFFFF"/>
          <w:lang w:val="en-US" w:eastAsia="zh-CN" w:bidi="ar"/>
        </w:rPr>
      </w:pPr>
      <w:r>
        <w:rPr>
          <w:rFonts w:hint="eastAsia" w:ascii="仿宋_GB2312" w:hAnsi="仿宋_GB2312" w:eastAsia="仿宋_GB2312" w:cs="仿宋_GB2312"/>
          <w:b w:val="0"/>
          <w:bCs w:val="0"/>
          <w:i w:val="0"/>
          <w:iCs w:val="0"/>
          <w:caps w:val="0"/>
          <w:color w:val="333333"/>
          <w:spacing w:val="0"/>
          <w:sz w:val="32"/>
          <w:szCs w:val="32"/>
          <w:shd w:val="clear" w:color="auto" w:fill="FFFFFF"/>
          <w:lang w:val="en-US" w:eastAsia="zh-CN"/>
        </w:rPr>
        <w:t>3、“</w:t>
      </w:r>
      <w:r>
        <w:rPr>
          <w:rFonts w:hint="eastAsia" w:ascii="仿宋_GB2312" w:hAnsi="仿宋_GB2312" w:eastAsia="仿宋_GB2312" w:cs="仿宋_GB2312"/>
          <w:b w:val="0"/>
          <w:bCs w:val="0"/>
          <w:color w:val="333333"/>
          <w:kern w:val="0"/>
          <w:sz w:val="32"/>
          <w:szCs w:val="32"/>
          <w:lang w:val="en-US" w:eastAsia="zh-CN"/>
        </w:rPr>
        <w:t>两癌”筛查任务数4000人，实际完成4004人。实际完成率100.1%，质量达标率100.1%；</w:t>
      </w:r>
      <w:r>
        <w:rPr>
          <w:rFonts w:hint="eastAsia" w:ascii="仿宋_GB2312" w:hAnsi="仿宋_GB2312" w:eastAsia="仿宋_GB2312" w:cs="仿宋_GB2312"/>
          <w:b w:val="0"/>
          <w:bCs w:val="0"/>
          <w:color w:val="333333"/>
          <w:kern w:val="0"/>
          <w:sz w:val="32"/>
          <w:szCs w:val="32"/>
          <w:highlight w:val="none"/>
          <w:lang w:val="en-US" w:eastAsia="zh-CN"/>
        </w:rPr>
        <w:t>先天梅毒发病率0/10万，孕产妇艾滋病检测率100%，孕产妇梅毒检测率100%，孕产妇乙肝检测率100%；孕前优生健康健康目标人群覆盖率达100%；叶酸服用率</w:t>
      </w:r>
      <w:r>
        <w:rPr>
          <w:rFonts w:hint="eastAsia" w:ascii="仿宋_GB2312" w:hAnsi="仿宋_GB2312" w:eastAsia="仿宋_GB2312" w:cs="仿宋_GB2312"/>
          <w:b w:val="0"/>
          <w:bCs w:val="0"/>
          <w:color w:val="333333"/>
          <w:kern w:val="0"/>
          <w:sz w:val="32"/>
          <w:szCs w:val="32"/>
          <w:lang w:val="en-US" w:eastAsia="zh-CN"/>
        </w:rPr>
        <w:t>95.56%</w:t>
      </w:r>
      <w:r>
        <w:rPr>
          <w:rFonts w:hint="eastAsia" w:ascii="仿宋_GB2312" w:hAnsi="仿宋_GB2312" w:eastAsia="仿宋_GB2312" w:cs="仿宋_GB2312"/>
          <w:b w:val="0"/>
          <w:bCs w:val="0"/>
          <w:color w:val="333333"/>
          <w:kern w:val="0"/>
          <w:sz w:val="32"/>
          <w:szCs w:val="32"/>
          <w:highlight w:val="none"/>
          <w:lang w:val="en-US" w:eastAsia="zh-CN"/>
        </w:rPr>
        <w:t>，叶酸服用依从率</w:t>
      </w:r>
      <w:r>
        <w:rPr>
          <w:rFonts w:hint="eastAsia" w:ascii="仿宋_GB2312" w:hAnsi="仿宋_GB2312" w:eastAsia="仿宋_GB2312" w:cs="仿宋_GB2312"/>
          <w:b w:val="0"/>
          <w:bCs w:val="0"/>
          <w:color w:val="333333"/>
          <w:kern w:val="0"/>
          <w:sz w:val="32"/>
          <w:szCs w:val="32"/>
          <w:lang w:val="en-US" w:eastAsia="zh-CN"/>
        </w:rPr>
        <w:t>95.48%</w:t>
      </w:r>
      <w:r>
        <w:rPr>
          <w:rFonts w:hint="eastAsia" w:ascii="仿宋_GB2312" w:hAnsi="仿宋_GB2312" w:eastAsia="仿宋_GB2312" w:cs="仿宋_GB2312"/>
          <w:b w:val="0"/>
          <w:bCs w:val="0"/>
          <w:color w:val="333333"/>
          <w:kern w:val="0"/>
          <w:sz w:val="32"/>
          <w:szCs w:val="32"/>
          <w:highlight w:val="none"/>
          <w:lang w:val="en-US" w:eastAsia="zh-CN"/>
        </w:rPr>
        <w:t>；完成及时。</w:t>
      </w:r>
    </w:p>
    <w:p w14:paraId="3EA54BA4">
      <w:pPr>
        <w:keepNext w:val="0"/>
        <w:keepLines w:val="0"/>
        <w:pageBreakBefore w:val="0"/>
        <w:kinsoku/>
        <w:wordWrap/>
        <w:overflowPunct/>
        <w:topLinePunct w:val="0"/>
        <w:autoSpaceDE/>
        <w:autoSpaceDN/>
        <w:bidi w:val="0"/>
        <w:adjustRightInd w:val="0"/>
        <w:snapToGrid w:val="0"/>
        <w:spacing w:line="360" w:lineRule="auto"/>
        <w:ind w:firstLine="640" w:firstLineChars="200"/>
        <w:textAlignment w:val="auto"/>
        <w:rPr>
          <w:rFonts w:hint="eastAsia" w:ascii="原版宋体" w:hAnsi="原版宋体" w:eastAsia="黑体"/>
          <w:sz w:val="32"/>
          <w:szCs w:val="32"/>
          <w:lang w:val="en-US" w:eastAsia="zh-CN" w:bidi="en-US"/>
        </w:rPr>
      </w:pPr>
      <w:r>
        <w:rPr>
          <w:rFonts w:hint="eastAsia" w:ascii="原版宋体" w:hAnsi="原版宋体" w:eastAsia="黑体"/>
          <w:sz w:val="32"/>
          <w:szCs w:val="32"/>
          <w:lang w:val="en-US" w:eastAsia="zh-CN" w:bidi="en-US"/>
        </w:rPr>
        <w:t>三、项目绩效自评开展情况</w:t>
      </w:r>
    </w:p>
    <w:p w14:paraId="639EA2F2">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640" w:firstLineChars="200"/>
        <w:textAlignment w:val="auto"/>
        <w:rPr>
          <w:rFonts w:hint="eastAsia" w:ascii="仿宋_GB2312" w:hAnsi="仿宋_GB2312" w:eastAsia="仿宋_GB2312" w:cs="仿宋_GB2312"/>
          <w:b w:val="0"/>
          <w:bCs w:val="0"/>
          <w:color w:val="333333"/>
          <w:kern w:val="0"/>
          <w:sz w:val="32"/>
          <w:szCs w:val="32"/>
        </w:rPr>
      </w:pPr>
      <w:r>
        <w:rPr>
          <w:rFonts w:hint="eastAsia" w:ascii="仿宋_GB2312" w:hAnsi="仿宋_GB2312" w:eastAsia="仿宋_GB2312" w:cs="仿宋_GB2312"/>
          <w:b w:val="0"/>
          <w:bCs w:val="0"/>
          <w:color w:val="333333"/>
          <w:kern w:val="0"/>
          <w:sz w:val="32"/>
          <w:szCs w:val="32"/>
        </w:rPr>
        <w:t>1、加强领导</w:t>
      </w:r>
      <w:r>
        <w:rPr>
          <w:rFonts w:hint="eastAsia" w:ascii="仿宋_GB2312" w:hAnsi="仿宋_GB2312" w:eastAsia="仿宋_GB2312" w:cs="仿宋_GB2312"/>
          <w:b w:val="0"/>
          <w:bCs w:val="0"/>
          <w:color w:val="333333"/>
          <w:kern w:val="0"/>
          <w:sz w:val="32"/>
          <w:szCs w:val="32"/>
          <w:lang w:eastAsia="zh-CN"/>
        </w:rPr>
        <w:t>，</w:t>
      </w:r>
      <w:r>
        <w:rPr>
          <w:rFonts w:hint="eastAsia" w:ascii="仿宋_GB2312" w:hAnsi="仿宋_GB2312" w:eastAsia="仿宋_GB2312" w:cs="仿宋_GB2312"/>
          <w:b w:val="0"/>
          <w:bCs w:val="0"/>
          <w:color w:val="333333"/>
          <w:kern w:val="0"/>
          <w:sz w:val="32"/>
          <w:szCs w:val="32"/>
        </w:rPr>
        <w:t>确保组织到位。制定了检查实施方案，成立了领导小组和技术小组。明确了各个机构的职责，确保</w:t>
      </w:r>
      <w:r>
        <w:rPr>
          <w:rFonts w:hint="eastAsia" w:ascii="仿宋_GB2312" w:hAnsi="仿宋_GB2312" w:eastAsia="仿宋_GB2312" w:cs="仿宋_GB2312"/>
          <w:b w:val="0"/>
          <w:bCs w:val="0"/>
          <w:color w:val="333333"/>
          <w:kern w:val="0"/>
          <w:sz w:val="32"/>
          <w:szCs w:val="32"/>
          <w:lang w:val="en-US" w:eastAsia="zh-CN"/>
        </w:rPr>
        <w:t>各项</w:t>
      </w:r>
      <w:r>
        <w:rPr>
          <w:rFonts w:hint="eastAsia" w:ascii="仿宋_GB2312" w:hAnsi="仿宋_GB2312" w:eastAsia="仿宋_GB2312" w:cs="仿宋_GB2312"/>
          <w:b w:val="0"/>
          <w:bCs w:val="0"/>
          <w:color w:val="333333"/>
          <w:kern w:val="0"/>
          <w:sz w:val="32"/>
          <w:szCs w:val="32"/>
        </w:rPr>
        <w:t>工作的顺利实施。</w:t>
      </w:r>
    </w:p>
    <w:p w14:paraId="7CF7AAE6">
      <w:pPr>
        <w:keepNext w:val="0"/>
        <w:keepLines w:val="0"/>
        <w:pageBreakBefore w:val="0"/>
        <w:kinsoku/>
        <w:wordWrap/>
        <w:overflowPunct/>
        <w:topLinePunct w:val="0"/>
        <w:autoSpaceDE/>
        <w:autoSpaceDN/>
        <w:bidi w:val="0"/>
        <w:adjustRightInd w:val="0"/>
        <w:snapToGrid w:val="0"/>
        <w:spacing w:line="360" w:lineRule="auto"/>
        <w:ind w:firstLine="640" w:firstLineChars="200"/>
        <w:textAlignment w:val="auto"/>
        <w:rPr>
          <w:rFonts w:hint="eastAsia" w:ascii="仿宋_GB2312" w:hAnsi="仿宋_GB2312" w:eastAsia="仿宋_GB2312" w:cs="仿宋_GB2312"/>
          <w:b w:val="0"/>
          <w:bCs w:val="0"/>
          <w:color w:val="333333"/>
          <w:kern w:val="0"/>
          <w:sz w:val="32"/>
          <w:szCs w:val="32"/>
        </w:rPr>
      </w:pPr>
      <w:r>
        <w:rPr>
          <w:rFonts w:hint="eastAsia" w:ascii="仿宋_GB2312" w:hAnsi="仿宋_GB2312" w:eastAsia="仿宋_GB2312" w:cs="仿宋_GB2312"/>
          <w:b w:val="0"/>
          <w:bCs w:val="0"/>
          <w:color w:val="333333"/>
          <w:kern w:val="0"/>
          <w:sz w:val="32"/>
          <w:szCs w:val="32"/>
        </w:rPr>
        <w:t>2、严格规范，加强培训。根据上级文件要求，制定了操作规范流程以及相关的工作制度。定期组织开展人员培训、业务指导、质量控制和监督检查。</w:t>
      </w:r>
    </w:p>
    <w:p w14:paraId="562A152A">
      <w:pPr>
        <w:keepNext w:val="0"/>
        <w:keepLines w:val="0"/>
        <w:pageBreakBefore w:val="0"/>
        <w:kinsoku/>
        <w:wordWrap/>
        <w:overflowPunct/>
        <w:topLinePunct w:val="0"/>
        <w:autoSpaceDE/>
        <w:autoSpaceDN/>
        <w:bidi w:val="0"/>
        <w:adjustRightInd w:val="0"/>
        <w:snapToGrid w:val="0"/>
        <w:spacing w:line="360" w:lineRule="auto"/>
        <w:ind w:firstLine="640" w:firstLineChars="200"/>
        <w:textAlignment w:val="auto"/>
        <w:rPr>
          <w:rFonts w:hint="eastAsia" w:ascii="仿宋_GB2312" w:hAnsi="仿宋_GB2312" w:eastAsia="仿宋_GB2312" w:cs="仿宋_GB2312"/>
          <w:b w:val="0"/>
          <w:bCs w:val="0"/>
          <w:color w:val="333333"/>
          <w:kern w:val="0"/>
          <w:sz w:val="32"/>
          <w:szCs w:val="32"/>
        </w:rPr>
      </w:pPr>
      <w:r>
        <w:rPr>
          <w:rFonts w:hint="eastAsia" w:ascii="仿宋_GB2312" w:hAnsi="仿宋_GB2312" w:eastAsia="仿宋_GB2312" w:cs="仿宋_GB2312"/>
          <w:b w:val="0"/>
          <w:bCs w:val="0"/>
          <w:color w:val="333333"/>
          <w:kern w:val="0"/>
          <w:sz w:val="32"/>
          <w:szCs w:val="32"/>
        </w:rPr>
        <w:t>3、建立健全“两癌”免费检查适龄妇女的电子档案信息库。对所有检查对象建立电子档案，健全“两癌信息数据采集系统”。</w:t>
      </w:r>
    </w:p>
    <w:p w14:paraId="0CA50692">
      <w:pPr>
        <w:keepNext w:val="0"/>
        <w:keepLines w:val="0"/>
        <w:pageBreakBefore w:val="0"/>
        <w:kinsoku/>
        <w:wordWrap/>
        <w:overflowPunct/>
        <w:topLinePunct w:val="0"/>
        <w:autoSpaceDE/>
        <w:autoSpaceDN/>
        <w:bidi w:val="0"/>
        <w:adjustRightInd w:val="0"/>
        <w:snapToGrid w:val="0"/>
        <w:spacing w:line="360" w:lineRule="auto"/>
        <w:ind w:firstLine="640" w:firstLineChars="200"/>
        <w:textAlignment w:val="auto"/>
        <w:rPr>
          <w:rFonts w:hint="eastAsia" w:ascii="原版宋体" w:hAnsi="原版宋体" w:eastAsia="黑体"/>
          <w:sz w:val="32"/>
          <w:szCs w:val="32"/>
          <w:lang w:val="en-US" w:eastAsia="zh-CN" w:bidi="en-US"/>
        </w:rPr>
      </w:pPr>
      <w:r>
        <w:rPr>
          <w:rFonts w:hint="eastAsia" w:ascii="原版宋体" w:hAnsi="原版宋体" w:eastAsia="黑体"/>
          <w:sz w:val="32"/>
          <w:szCs w:val="32"/>
          <w:lang w:val="en-US" w:eastAsia="zh-CN" w:bidi="en-US"/>
        </w:rPr>
        <w:t>四、项目复核开展情况</w:t>
      </w:r>
    </w:p>
    <w:p w14:paraId="6110956E">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rPr>
        <w:t>区妇幼保健院成立了专门的领导班子和技术班子，随带必需的医学检查设备设施采取进村入户的方式集中时段对目标镇（中心、街道）实行免费检查，对阳性人群，及时通知到区妇幼保健院本部做进一步检查及后续追踪管理。</w:t>
      </w:r>
      <w:r>
        <w:rPr>
          <w:rFonts w:hint="eastAsia" w:ascii="仿宋_GB2312" w:hAnsi="仿宋_GB2312" w:eastAsia="仿宋_GB2312" w:cs="仿宋_GB2312"/>
          <w:b w:val="0"/>
          <w:bCs w:val="0"/>
          <w:sz w:val="32"/>
          <w:szCs w:val="32"/>
          <w:lang w:val="en-US" w:eastAsia="zh-CN"/>
        </w:rPr>
        <w:t>2023农村适龄和城镇低保妇女免费“两癌”检查工作自2023年3月23日至2023年5月19日止，用时56天，下乡到街道、村组，共计完成检查人数4004人，（我区2023年“两癌”检查目标人群数为4000人），完成率为100.1%。</w:t>
      </w:r>
    </w:p>
    <w:p w14:paraId="6B9BE2FF">
      <w:pPr>
        <w:keepNext w:val="0"/>
        <w:keepLines w:val="0"/>
        <w:pageBreakBefore w:val="0"/>
        <w:numPr>
          <w:ilvl w:val="0"/>
          <w:numId w:val="1"/>
        </w:numPr>
        <w:kinsoku/>
        <w:wordWrap/>
        <w:overflowPunct/>
        <w:topLinePunct w:val="0"/>
        <w:autoSpaceDE/>
        <w:autoSpaceDN/>
        <w:bidi w:val="0"/>
        <w:adjustRightInd w:val="0"/>
        <w:snapToGrid w:val="0"/>
        <w:spacing w:line="360" w:lineRule="auto"/>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宫颈癌检查：查出生殖道感染911人：其中滴虫性阴道炎16人，外阴假丝酵母菌感染211人，细菌性阴道病435人，外生殖器尖锐湿疣1人，宫颈炎252人，宫颈息肉73人，其他生殖道感染7人。</w:t>
      </w:r>
    </w:p>
    <w:p w14:paraId="31694521">
      <w:pPr>
        <w:keepNext w:val="0"/>
        <w:keepLines w:val="0"/>
        <w:pageBreakBefore w:val="0"/>
        <w:numPr>
          <w:ilvl w:val="0"/>
          <w:numId w:val="1"/>
        </w:numPr>
        <w:kinsoku/>
        <w:wordWrap/>
        <w:overflowPunct/>
        <w:topLinePunct w:val="0"/>
        <w:autoSpaceDE/>
        <w:autoSpaceDN/>
        <w:bidi w:val="0"/>
        <w:snapToGrid/>
        <w:spacing w:line="360" w:lineRule="auto"/>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HPV阳性438人，HPV阳性率10.94%，其中16、18型阳性50人。TCT检查388人，TCT阳性142人，其中ASCUS 80人；LSIL 57人</w:t>
      </w:r>
      <w:r>
        <w:rPr>
          <w:rFonts w:hint="eastAsia" w:ascii="仿宋_GB2312" w:hAnsi="仿宋_GB2312" w:eastAsia="仿宋_GB2312" w:cs="仿宋_GB2312"/>
          <w:b w:val="0"/>
          <w:bCs w:val="0"/>
          <w:sz w:val="32"/>
          <w:szCs w:val="32"/>
          <w:shd w:val="clear" w:color="auto" w:fill="auto"/>
          <w:lang w:val="en-US" w:eastAsia="zh-CN"/>
        </w:rPr>
        <w:t>；</w:t>
      </w:r>
      <w:r>
        <w:rPr>
          <w:rFonts w:hint="eastAsia" w:ascii="仿宋_GB2312" w:hAnsi="仿宋_GB2312" w:eastAsia="仿宋_GB2312" w:cs="仿宋_GB2312"/>
          <w:b w:val="0"/>
          <w:bCs w:val="0"/>
          <w:sz w:val="32"/>
          <w:szCs w:val="32"/>
          <w:highlight w:val="none"/>
          <w:shd w:val="clear" w:color="auto" w:fill="auto"/>
          <w:lang w:val="en-US" w:eastAsia="zh-CN"/>
        </w:rPr>
        <w:t xml:space="preserve">ASC-H </w:t>
      </w:r>
      <w:r>
        <w:rPr>
          <w:rFonts w:hint="eastAsia" w:ascii="仿宋_GB2312" w:hAnsi="仿宋_GB2312" w:eastAsia="仿宋_GB2312" w:cs="仿宋_GB2312"/>
          <w:b w:val="0"/>
          <w:bCs w:val="0"/>
          <w:sz w:val="32"/>
          <w:szCs w:val="32"/>
          <w:highlight w:val="none"/>
          <w:lang w:val="en-US" w:eastAsia="zh-CN"/>
        </w:rPr>
        <w:t>1</w:t>
      </w:r>
      <w:r>
        <w:rPr>
          <w:rFonts w:hint="eastAsia" w:ascii="仿宋_GB2312" w:hAnsi="仿宋_GB2312" w:eastAsia="仿宋_GB2312" w:cs="仿宋_GB2312"/>
          <w:b w:val="0"/>
          <w:bCs w:val="0"/>
          <w:sz w:val="32"/>
          <w:szCs w:val="32"/>
          <w:lang w:val="en-US" w:eastAsia="zh-CN"/>
        </w:rPr>
        <w:t>人；HSIL 3人；AGC-NOS1人。阴道镜检查192人（50+142=192），其中可疑异常86人。病检人数86人：其中低度病变LSIL57人；阴道壁高度病变VAIN2-3级4人，宫颈高度病变HSIL14人中含CIN2-3级12人、宫颈腺癌2人，均已进行治疗和追踪管理，宫颈癌早诊率70%</w:t>
      </w:r>
      <w:r>
        <w:rPr>
          <w:rFonts w:hint="eastAsia" w:ascii="楷体" w:hAnsi="楷体" w:eastAsia="楷体" w:cs="楷体"/>
          <w:b w:val="0"/>
          <w:bCs w:val="0"/>
          <w:color w:val="000000"/>
          <w:sz w:val="30"/>
          <w:szCs w:val="30"/>
          <w:lang w:val="en-US" w:eastAsia="zh-CN"/>
        </w:rPr>
        <w:t>。</w:t>
      </w:r>
    </w:p>
    <w:p w14:paraId="37D21747">
      <w:pPr>
        <w:pStyle w:val="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640" w:firstLineChars="200"/>
        <w:jc w:val="left"/>
        <w:textAlignment w:val="auto"/>
        <w:outlineLvl w:val="9"/>
        <w:rPr>
          <w:rFonts w:hint="eastAsia" w:ascii="楷体" w:hAnsi="楷体" w:eastAsia="楷体" w:cs="楷体"/>
          <w:b w:val="0"/>
          <w:bCs w:val="0"/>
          <w:color w:val="000000"/>
          <w:spacing w:val="-20"/>
          <w:sz w:val="32"/>
          <w:szCs w:val="32"/>
          <w:lang w:eastAsia="zh-CN"/>
        </w:rPr>
      </w:pPr>
      <w:r>
        <w:rPr>
          <w:rFonts w:hint="eastAsia" w:ascii="仿宋_GB2312" w:hAnsi="仿宋_GB2312" w:eastAsia="仿宋_GB2312" w:cs="仿宋_GB2312"/>
          <w:b w:val="0"/>
          <w:bCs w:val="0"/>
          <w:sz w:val="32"/>
          <w:szCs w:val="32"/>
          <w:lang w:val="en-US" w:eastAsia="zh-CN"/>
        </w:rPr>
        <w:t>（3）乳腺癌检查：</w:t>
      </w:r>
      <w:r>
        <w:rPr>
          <w:rFonts w:hint="eastAsia" w:ascii="仿宋_GB2312" w:hAnsi="仿宋_GB2312" w:eastAsia="仿宋_GB2312" w:cs="仿宋_GB2312"/>
          <w:b w:val="0"/>
          <w:bCs w:val="0"/>
          <w:color w:val="000000"/>
          <w:kern w:val="0"/>
          <w:sz w:val="32"/>
          <w:szCs w:val="32"/>
          <w:lang w:val="en-US" w:eastAsia="zh-CN" w:bidi="en-US"/>
        </w:rPr>
        <w:t>乳腺彩超筛查出乳腺疾患953人，其中良性疾患929人，需进一步做X线检查24人。乳腺X线检查（BI-RADS分级）3级22人，4级2人，病检2人，乳腺浸润性导管癌2人，已治疗2人。</w:t>
      </w:r>
    </w:p>
    <w:p w14:paraId="48F94A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highlight w:val="none"/>
          <w:lang w:val="en-US" w:eastAsia="zh-CN"/>
        </w:rPr>
        <w:t>2、预防艾滋病、梅毒和乙肝母婴传播项目：</w:t>
      </w:r>
      <w:r>
        <w:rPr>
          <w:rFonts w:hint="eastAsia" w:ascii="仿宋_GB2312" w:hAnsi="仿宋_GB2312" w:eastAsia="仿宋_GB2312" w:cs="仿宋_GB2312"/>
          <w:b w:val="0"/>
          <w:bCs w:val="0"/>
          <w:color w:val="000000"/>
          <w:kern w:val="0"/>
          <w:sz w:val="32"/>
          <w:szCs w:val="32"/>
          <w:lang w:val="en-US" w:eastAsia="zh-CN" w:bidi="en-US"/>
        </w:rPr>
        <w:t>“艾梅乙”孕早期检测率99.39%  ，孕期检测率100% ，产时检测率0.61%；查出艾滋病阳性孕产妇0人；梅毒阳性孕妇3,产妇 3人；乙肝阳性孕产妇12人，均进行了系统母婴阻断治疗，并追踪管理。</w:t>
      </w:r>
    </w:p>
    <w:p w14:paraId="3C504E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3、免费孕前优生健康检查项目：</w:t>
      </w:r>
      <w:r>
        <w:rPr>
          <w:rFonts w:hint="eastAsia" w:ascii="仿宋_GB2312" w:hAnsi="仿宋_GB2312" w:eastAsia="仿宋_GB2312" w:cs="仿宋_GB2312"/>
          <w:b w:val="0"/>
          <w:bCs w:val="0"/>
          <w:color w:val="333333"/>
          <w:kern w:val="0"/>
          <w:sz w:val="32"/>
          <w:szCs w:val="32"/>
          <w:lang w:val="en-US" w:eastAsia="zh-CN"/>
        </w:rPr>
        <w:t>2023年应检2000人，完成2000人，评估具有风险人数240人，其中营养风险因素61人、遗传风险因素10人、慢病风险因素50人、感染风险因素23人、生植风险因素30人、环境风险因素29人、行为风险因素35人、社会心理风险因素42人，完成率100%，早孕随访率100%，妊娠结局随访率100%。</w:t>
      </w:r>
    </w:p>
    <w:p w14:paraId="0B56E7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b w:val="0"/>
          <w:bCs w:val="0"/>
          <w:color w:val="333333"/>
          <w:kern w:val="0"/>
          <w:sz w:val="32"/>
          <w:szCs w:val="32"/>
          <w:lang w:val="en-US" w:eastAsia="zh-CN"/>
        </w:rPr>
      </w:pPr>
      <w:r>
        <w:rPr>
          <w:rFonts w:hint="eastAsia" w:ascii="仿宋_GB2312" w:hAnsi="仿宋_GB2312" w:eastAsia="仿宋_GB2312" w:cs="仿宋_GB2312"/>
          <w:b w:val="0"/>
          <w:bCs w:val="0"/>
          <w:sz w:val="32"/>
          <w:szCs w:val="32"/>
          <w:lang w:val="en-US" w:eastAsia="zh-CN"/>
        </w:rPr>
        <w:t>4、叶酸增补：</w:t>
      </w:r>
      <w:r>
        <w:rPr>
          <w:rFonts w:hint="eastAsia" w:ascii="仿宋_GB2312" w:hAnsi="仿宋_GB2312" w:eastAsia="仿宋_GB2312" w:cs="仿宋_GB2312"/>
          <w:b w:val="0"/>
          <w:bCs w:val="0"/>
          <w:color w:val="333333"/>
          <w:kern w:val="0"/>
          <w:sz w:val="32"/>
          <w:szCs w:val="32"/>
          <w:lang w:val="en-US" w:eastAsia="zh-CN"/>
        </w:rPr>
        <w:t>新增叶酸服用752 人，应服 787人，新增服用率95.56%，依从人数718人，依从率95.48%，其中孕前服用叶酸 693人，孕前服用率92.15%。</w:t>
      </w:r>
    </w:p>
    <w:p w14:paraId="3151960C">
      <w:pPr>
        <w:keepNext w:val="0"/>
        <w:keepLines w:val="0"/>
        <w:pageBreakBefore w:val="0"/>
        <w:kinsoku/>
        <w:wordWrap/>
        <w:overflowPunct/>
        <w:topLinePunct w:val="0"/>
        <w:autoSpaceDE/>
        <w:autoSpaceDN/>
        <w:bidi w:val="0"/>
        <w:snapToGrid/>
        <w:spacing w:line="360" w:lineRule="auto"/>
        <w:ind w:firstLine="640" w:firstLineChars="200"/>
        <w:textAlignment w:val="auto"/>
        <w:rPr>
          <w:rFonts w:hint="eastAsia" w:ascii="原版宋体" w:hAnsi="原版宋体" w:eastAsia="黑体"/>
          <w:sz w:val="32"/>
          <w:szCs w:val="32"/>
          <w:lang w:val="en-US" w:eastAsia="zh-CN" w:bidi="en-US"/>
        </w:rPr>
      </w:pPr>
      <w:r>
        <w:rPr>
          <w:rFonts w:hint="eastAsia" w:ascii="原版宋体" w:hAnsi="原版宋体" w:eastAsia="黑体"/>
          <w:sz w:val="32"/>
          <w:szCs w:val="32"/>
          <w:lang w:val="en-US" w:eastAsia="zh-CN" w:bidi="en-US"/>
        </w:rPr>
        <w:t>五、项目目标实现情况分析</w:t>
      </w:r>
    </w:p>
    <w:p w14:paraId="06F58172">
      <w:pPr>
        <w:keepNext w:val="0"/>
        <w:keepLines w:val="0"/>
        <w:pageBreakBefore w:val="0"/>
        <w:kinsoku/>
        <w:wordWrap/>
        <w:overflowPunct/>
        <w:topLinePunct w:val="0"/>
        <w:autoSpaceDE/>
        <w:autoSpaceDN/>
        <w:bidi w:val="0"/>
        <w:snapToGrid/>
        <w:spacing w:line="360" w:lineRule="auto"/>
        <w:ind w:firstLine="640" w:firstLineChars="200"/>
        <w:textAlignment w:val="auto"/>
        <w:rPr>
          <w:rFonts w:hint="eastAsia" w:ascii="仿宋_GB2312" w:hAnsi="仿宋_GB2312" w:eastAsia="仿宋_GB2312" w:cs="仿宋_GB2312"/>
          <w:b w:val="0"/>
          <w:bCs w:val="0"/>
          <w:color w:val="333333"/>
          <w:kern w:val="0"/>
          <w:sz w:val="32"/>
          <w:szCs w:val="32"/>
        </w:rPr>
      </w:pPr>
      <w:bookmarkStart w:id="0" w:name="bookmark20"/>
      <w:r>
        <w:rPr>
          <w:rFonts w:hint="eastAsia" w:ascii="仿宋_GB2312" w:hAnsi="仿宋_GB2312" w:eastAsia="仿宋_GB2312" w:cs="仿宋_GB2312"/>
          <w:b w:val="0"/>
          <w:bCs w:val="0"/>
          <w:sz w:val="32"/>
          <w:szCs w:val="32"/>
        </w:rPr>
        <w:t>（</w:t>
      </w:r>
      <w:bookmarkEnd w:id="0"/>
      <w:r>
        <w:rPr>
          <w:rFonts w:hint="eastAsia" w:ascii="仿宋_GB2312" w:hAnsi="仿宋_GB2312" w:eastAsia="仿宋_GB2312" w:cs="仿宋_GB2312"/>
          <w:b w:val="0"/>
          <w:bCs w:val="0"/>
          <w:sz w:val="32"/>
          <w:szCs w:val="32"/>
        </w:rPr>
        <w:t>一）</w:t>
      </w:r>
      <w:r>
        <w:rPr>
          <w:rFonts w:hint="eastAsia" w:ascii="仿宋_GB2312" w:hAnsi="仿宋_GB2312" w:eastAsia="仿宋_GB2312" w:cs="仿宋_GB2312"/>
          <w:b w:val="0"/>
          <w:bCs w:val="0"/>
          <w:color w:val="333333"/>
          <w:kern w:val="0"/>
          <w:sz w:val="32"/>
          <w:szCs w:val="32"/>
        </w:rPr>
        <w:t>项目决策情况。立项依据充分、立项程序规范、绩效目标合理、绩效指标明确、预算编制科学、资金分配合理。资金到位率100%，预算执行率为100%。资金使用合规、管理制度健全及执行有效。</w:t>
      </w:r>
    </w:p>
    <w:p w14:paraId="37CBEE81">
      <w:pPr>
        <w:keepNext w:val="0"/>
        <w:keepLines w:val="0"/>
        <w:pageBreakBefore w:val="0"/>
        <w:kinsoku/>
        <w:wordWrap/>
        <w:overflowPunct/>
        <w:topLinePunct w:val="0"/>
        <w:autoSpaceDE/>
        <w:autoSpaceDN/>
        <w:bidi w:val="0"/>
        <w:snapToGrid/>
        <w:spacing w:line="360" w:lineRule="auto"/>
        <w:ind w:firstLine="640" w:firstLineChars="200"/>
        <w:textAlignment w:val="auto"/>
        <w:rPr>
          <w:rFonts w:hint="eastAsia" w:ascii="仿宋_GB2312" w:hAnsi="仿宋_GB2312" w:eastAsia="仿宋_GB2312" w:cs="仿宋_GB2312"/>
          <w:b w:val="0"/>
          <w:bCs w:val="0"/>
          <w:sz w:val="32"/>
          <w:szCs w:val="32"/>
        </w:rPr>
      </w:pPr>
      <w:bookmarkStart w:id="1" w:name="bookmark22"/>
      <w:r>
        <w:rPr>
          <w:rFonts w:hint="eastAsia" w:ascii="仿宋_GB2312" w:hAnsi="仿宋_GB2312" w:eastAsia="仿宋_GB2312" w:cs="仿宋_GB2312"/>
          <w:b w:val="0"/>
          <w:bCs w:val="0"/>
          <w:sz w:val="32"/>
          <w:szCs w:val="32"/>
        </w:rPr>
        <w:t>（</w:t>
      </w:r>
      <w:bookmarkEnd w:id="1"/>
      <w:r>
        <w:rPr>
          <w:rFonts w:hint="eastAsia" w:ascii="仿宋_GB2312" w:hAnsi="仿宋_GB2312" w:eastAsia="仿宋_GB2312" w:cs="仿宋_GB2312"/>
          <w:b w:val="0"/>
          <w:bCs w:val="0"/>
          <w:sz w:val="32"/>
          <w:szCs w:val="32"/>
          <w:lang w:val="en-US" w:eastAsia="zh-CN"/>
        </w:rPr>
        <w:t>二</w:t>
      </w:r>
      <w:r>
        <w:rPr>
          <w:rFonts w:hint="eastAsia" w:ascii="仿宋_GB2312" w:hAnsi="仿宋_GB2312" w:eastAsia="仿宋_GB2312" w:cs="仿宋_GB2312"/>
          <w:b w:val="0"/>
          <w:bCs w:val="0"/>
          <w:sz w:val="32"/>
          <w:szCs w:val="32"/>
        </w:rPr>
        <w:t>）社会性分析。</w:t>
      </w:r>
      <w:r>
        <w:rPr>
          <w:rFonts w:hint="eastAsia" w:ascii="仿宋_GB2312" w:hAnsi="仿宋_GB2312" w:eastAsia="仿宋_GB2312" w:cs="仿宋_GB2312"/>
          <w:b w:val="0"/>
          <w:bCs w:val="0"/>
          <w:color w:val="333333"/>
          <w:kern w:val="0"/>
          <w:sz w:val="32"/>
          <w:szCs w:val="32"/>
        </w:rPr>
        <w:t>提升妇女“两癌”意识，树立健康文明理念，培养良好生活方式，群众较满意。</w:t>
      </w:r>
      <w:r>
        <w:rPr>
          <w:rFonts w:hint="eastAsia" w:ascii="仿宋_GB2312" w:hAnsi="仿宋_GB2312" w:eastAsia="仿宋_GB2312" w:cs="仿宋_GB2312"/>
          <w:b w:val="0"/>
          <w:bCs w:val="0"/>
          <w:sz w:val="32"/>
          <w:szCs w:val="32"/>
        </w:rPr>
        <w:t>预防艾滋病、梅毒和乙肝母婴传播工作是国家重大公共卫生项目，是国家关爱妇女儿童的重要举措，对降低孕产妇死亡率和</w:t>
      </w:r>
      <w:r>
        <w:rPr>
          <w:rFonts w:hint="default" w:ascii="仿宋_GB2312" w:hAnsi="仿宋_GB2312" w:eastAsia="仿宋_GB2312" w:cs="仿宋_GB2312"/>
          <w:b w:val="0"/>
          <w:bCs w:val="0"/>
          <w:sz w:val="32"/>
          <w:szCs w:val="32"/>
        </w:rPr>
        <w:t>5岁以下儿童死亡率，提高出生人口素质、促进妇女女儿童健康有重大意义。</w:t>
      </w:r>
      <w:r>
        <w:rPr>
          <w:rFonts w:hint="eastAsia" w:ascii="仿宋_GB2312" w:hAnsi="仿宋_GB2312" w:eastAsia="仿宋_GB2312" w:cs="仿宋_GB2312"/>
          <w:b w:val="0"/>
          <w:bCs w:val="0"/>
          <w:sz w:val="32"/>
          <w:szCs w:val="32"/>
        </w:rPr>
        <w:t>提高基本避孕药具和基本避孕手术服务可及性，使育龄群众获得规范、安全的避孕服务,促进育龄夫妻保持适当的生育间隔，保护女性健康和生育能力，保障母婴健康。</w:t>
      </w:r>
      <w:r>
        <w:rPr>
          <w:rFonts w:hint="eastAsia" w:ascii="仿宋_GB2312" w:hAnsi="仿宋_GB2312" w:eastAsia="仿宋_GB2312" w:cs="仿宋_GB2312"/>
          <w:b w:val="0"/>
          <w:bCs w:val="0"/>
          <w:sz w:val="32"/>
          <w:szCs w:val="32"/>
          <w:lang w:val="en-US" w:eastAsia="zh-CN"/>
        </w:rPr>
        <w:t>免费孕前优生健康检查项目</w:t>
      </w:r>
      <w:r>
        <w:rPr>
          <w:rFonts w:hint="eastAsia" w:ascii="仿宋_GB2312" w:hAnsi="仿宋_GB2312" w:eastAsia="仿宋_GB2312" w:cs="仿宋_GB2312"/>
          <w:b w:val="0"/>
          <w:bCs w:val="0"/>
          <w:sz w:val="32"/>
          <w:szCs w:val="32"/>
        </w:rPr>
        <w:t>有利于从源头上预防出生缺陷发生，提高出生人口素质。开展这项工作，对推进“幸福家庭”计划，促进社会和谐和可持续发展具有重要意义，是党和政府关注民生、服务民生、改善民生的具体行动。</w:t>
      </w:r>
    </w:p>
    <w:p w14:paraId="680D60AA">
      <w:pPr>
        <w:pStyle w:val="8"/>
        <w:keepNext w:val="0"/>
        <w:keepLines w:val="0"/>
        <w:pageBreakBefore w:val="0"/>
        <w:kinsoku/>
        <w:wordWrap/>
        <w:overflowPunct/>
        <w:topLinePunct w:val="0"/>
        <w:autoSpaceDE/>
        <w:autoSpaceDN/>
        <w:bidi w:val="0"/>
        <w:snapToGrid/>
        <w:spacing w:line="360" w:lineRule="auto"/>
        <w:ind w:left="0" w:leftChars="0" w:firstLine="640" w:firstLineChars="200"/>
        <w:textAlignment w:val="auto"/>
        <w:rPr>
          <w:rFonts w:hint="eastAsia" w:ascii="原版宋体" w:hAnsi="原版宋体" w:eastAsia="黑体"/>
          <w:b/>
          <w:bCs/>
          <w:sz w:val="24"/>
          <w:szCs w:val="24"/>
        </w:rPr>
      </w:pPr>
      <w:r>
        <w:rPr>
          <w:rFonts w:hint="eastAsia" w:ascii="原版宋体" w:hAnsi="原版宋体" w:eastAsia="黑体" w:cs="Times New Roman"/>
          <w:color w:val="000000"/>
          <w:sz w:val="32"/>
          <w:szCs w:val="32"/>
          <w:lang w:val="en-US" w:eastAsia="zh-CN" w:bidi="en-US"/>
        </w:rPr>
        <w:t>六、结论</w:t>
      </w:r>
    </w:p>
    <w:p w14:paraId="3B40E94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360" w:lineRule="auto"/>
        <w:ind w:right="0" w:rightChars="0" w:firstLine="640" w:firstLineChars="200"/>
        <w:jc w:val="left"/>
        <w:textAlignment w:val="auto"/>
        <w:rPr>
          <w:rFonts w:hint="eastAsia" w:ascii="原版宋体" w:hAnsi="原版宋体" w:eastAsia="楷体_GB2312" w:cs="楷体_GB2312"/>
          <w:b w:val="0"/>
          <w:bCs w:val="0"/>
          <w:sz w:val="32"/>
          <w:szCs w:val="32"/>
        </w:rPr>
      </w:pPr>
      <w:bookmarkStart w:id="2" w:name="bookmark25"/>
      <w:r>
        <w:rPr>
          <w:rFonts w:hint="eastAsia" w:ascii="原版宋体" w:hAnsi="原版宋体" w:eastAsia="楷体_GB2312" w:cs="楷体_GB2312"/>
          <w:b w:val="0"/>
          <w:bCs w:val="0"/>
          <w:sz w:val="32"/>
          <w:szCs w:val="32"/>
        </w:rPr>
        <w:t>（</w:t>
      </w:r>
      <w:bookmarkEnd w:id="2"/>
      <w:r>
        <w:rPr>
          <w:rFonts w:hint="eastAsia" w:ascii="原版宋体" w:hAnsi="原版宋体" w:eastAsia="楷体_GB2312" w:cs="楷体_GB2312"/>
          <w:b w:val="0"/>
          <w:bCs w:val="0"/>
          <w:sz w:val="32"/>
          <w:szCs w:val="32"/>
          <w:lang w:val="en-US" w:eastAsia="zh-CN"/>
        </w:rPr>
        <w:t>一</w:t>
      </w:r>
      <w:r>
        <w:rPr>
          <w:rFonts w:hint="eastAsia" w:ascii="原版宋体" w:hAnsi="原版宋体" w:eastAsia="楷体_GB2312" w:cs="楷体_GB2312"/>
          <w:b w:val="0"/>
          <w:bCs w:val="0"/>
          <w:sz w:val="32"/>
          <w:szCs w:val="32"/>
          <w:lang w:eastAsia="zh-CN"/>
        </w:rPr>
        <w:t>）</w:t>
      </w:r>
      <w:r>
        <w:rPr>
          <w:rFonts w:hint="eastAsia" w:ascii="原版宋体" w:hAnsi="原版宋体" w:eastAsia="楷体_GB2312" w:cs="楷体_GB2312"/>
          <w:b w:val="0"/>
          <w:bCs w:val="0"/>
          <w:sz w:val="32"/>
          <w:szCs w:val="32"/>
        </w:rPr>
        <w:t>主要经验及做法</w:t>
      </w:r>
    </w:p>
    <w:p w14:paraId="4D8218C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640" w:firstLineChars="200"/>
        <w:jc w:val="left"/>
        <w:textAlignment w:val="auto"/>
        <w:rPr>
          <w:rFonts w:hint="eastAsia" w:ascii="仿宋_GB2312" w:hAnsi="仿宋_GB2312" w:eastAsia="仿宋_GB2312" w:cs="仿宋_GB2312"/>
          <w:b w:val="0"/>
          <w:bCs w:val="0"/>
          <w:i w:val="0"/>
          <w:iCs w:val="0"/>
          <w:caps w:val="0"/>
          <w:color w:val="333333"/>
          <w:spacing w:val="0"/>
          <w:sz w:val="32"/>
          <w:szCs w:val="32"/>
        </w:rPr>
      </w:pPr>
      <w:r>
        <w:rPr>
          <w:rFonts w:hint="eastAsia" w:ascii="仿宋_GB2312" w:hAnsi="仿宋_GB2312" w:eastAsia="仿宋_GB2312" w:cs="仿宋_GB2312"/>
          <w:b w:val="0"/>
          <w:bCs w:val="0"/>
          <w:i w:val="0"/>
          <w:iCs w:val="0"/>
          <w:caps w:val="0"/>
          <w:color w:val="333333"/>
          <w:spacing w:val="0"/>
          <w:kern w:val="0"/>
          <w:sz w:val="32"/>
          <w:szCs w:val="32"/>
          <w:shd w:val="clear" w:color="auto" w:fill="FFFFFF"/>
          <w:lang w:val="en-US" w:eastAsia="zh-CN" w:bidi="ar"/>
        </w:rPr>
        <w:t>1.领导重视，职责明确。区卫生健康局成立了技术服务专家指导小组，负责全区项目技术指导、业务培训、督导与评估。区妇幼保健院将项目工作作为妇幼健康工作重中之重，实行一把手负总责，分管领导具体抓，并安排了具体负责人和检查的专业团队从事项目工作。及时制定下发了项目工作实施方案，明确了行政部门及业务部门职责。三是措施有力；年初及时将任务分解到各乡镇，并限定时间内完成，宣传发动力度大，层层开会、一级一级发动。</w:t>
      </w:r>
    </w:p>
    <w:p w14:paraId="43DAB7A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640" w:firstLineChars="200"/>
        <w:jc w:val="left"/>
        <w:textAlignment w:val="auto"/>
        <w:rPr>
          <w:rFonts w:hint="eastAsia" w:ascii="仿宋_GB2312" w:hAnsi="仿宋_GB2312" w:eastAsia="仿宋_GB2312" w:cs="仿宋_GB2312"/>
          <w:b w:val="0"/>
          <w:bCs w:val="0"/>
          <w:i w:val="0"/>
          <w:iCs w:val="0"/>
          <w:caps w:val="0"/>
          <w:color w:val="333333"/>
          <w:spacing w:val="0"/>
          <w:sz w:val="32"/>
          <w:szCs w:val="32"/>
        </w:rPr>
      </w:pPr>
      <w:r>
        <w:rPr>
          <w:rFonts w:hint="eastAsia" w:ascii="仿宋_GB2312" w:hAnsi="仿宋_GB2312" w:eastAsia="仿宋_GB2312" w:cs="仿宋_GB2312"/>
          <w:b w:val="0"/>
          <w:bCs w:val="0"/>
          <w:i w:val="0"/>
          <w:iCs w:val="0"/>
          <w:caps w:val="0"/>
          <w:color w:val="333333"/>
          <w:spacing w:val="0"/>
          <w:kern w:val="0"/>
          <w:sz w:val="32"/>
          <w:szCs w:val="32"/>
          <w:shd w:val="clear" w:color="auto" w:fill="FFFFFF"/>
          <w:lang w:val="en-US" w:eastAsia="zh-CN" w:bidi="ar"/>
        </w:rPr>
        <w:t>2、建立制度，规范管理。按照项目要求，对每个项目都制定了相应的制度，操作流程，建立了相应的登记本，根据妇幼重大公共卫生服务项目信息直报系统要求，做到及时收集、录用和报送，各项资料完整，规范存档。</w:t>
      </w:r>
    </w:p>
    <w:p w14:paraId="36B0ACC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640" w:firstLineChars="200"/>
        <w:jc w:val="left"/>
        <w:textAlignment w:val="auto"/>
        <w:rPr>
          <w:rFonts w:hint="eastAsia" w:ascii="仿宋_GB2312" w:hAnsi="仿宋_GB2312" w:eastAsia="仿宋_GB2312" w:cs="仿宋_GB2312"/>
          <w:b w:val="0"/>
          <w:bCs w:val="0"/>
          <w:i w:val="0"/>
          <w:iCs w:val="0"/>
          <w:caps w:val="0"/>
          <w:color w:val="333333"/>
          <w:spacing w:val="0"/>
          <w:sz w:val="32"/>
          <w:szCs w:val="32"/>
        </w:rPr>
      </w:pPr>
      <w:r>
        <w:rPr>
          <w:rFonts w:hint="eastAsia" w:ascii="仿宋_GB2312" w:hAnsi="仿宋_GB2312" w:eastAsia="仿宋_GB2312" w:cs="仿宋_GB2312"/>
          <w:b w:val="0"/>
          <w:bCs w:val="0"/>
          <w:i w:val="0"/>
          <w:iCs w:val="0"/>
          <w:caps w:val="0"/>
          <w:color w:val="333333"/>
          <w:spacing w:val="0"/>
          <w:kern w:val="0"/>
          <w:sz w:val="32"/>
          <w:szCs w:val="32"/>
          <w:shd w:val="clear" w:color="auto" w:fill="FFFFFF"/>
          <w:lang w:val="en-US" w:eastAsia="zh-CN" w:bidi="ar"/>
        </w:rPr>
        <w:t>3、合理安排，有序开展。为保质保量完成任务，区卫健局采取了有效措施，合理布局。在工作方案中对各镇(街道)检查任务、检查时间进行了安排，明确了以区妇幼保健计划生育服务中心为主，成立专门检查组，承担没有产科的镇(街道)卫生院的检查，有条件的镇（街道）卫生院承担初筛，接诊工作由市妇幼保健计划生育服务中心负责，使各项工作检查有条不紊、有序开展。</w:t>
      </w:r>
    </w:p>
    <w:p w14:paraId="3EEF056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360" w:lineRule="auto"/>
        <w:ind w:right="0" w:rightChars="0" w:firstLine="640" w:firstLineChars="200"/>
        <w:jc w:val="left"/>
        <w:textAlignment w:val="auto"/>
        <w:rPr>
          <w:rFonts w:hint="eastAsia" w:ascii="原版宋体" w:hAnsi="原版宋体" w:eastAsia="楷体_GB2312" w:cs="楷体_GB2312"/>
          <w:b w:val="0"/>
          <w:bCs w:val="0"/>
          <w:sz w:val="32"/>
          <w:szCs w:val="32"/>
        </w:rPr>
      </w:pPr>
      <w:bookmarkStart w:id="3" w:name="bookmark26"/>
      <w:r>
        <w:rPr>
          <w:rFonts w:hint="eastAsia" w:ascii="原版宋体" w:hAnsi="原版宋体" w:eastAsia="楷体_GB2312" w:cs="楷体_GB2312"/>
          <w:b w:val="0"/>
          <w:bCs w:val="0"/>
          <w:sz w:val="32"/>
          <w:szCs w:val="32"/>
        </w:rPr>
        <w:t>（</w:t>
      </w:r>
      <w:bookmarkEnd w:id="3"/>
      <w:r>
        <w:rPr>
          <w:rFonts w:hint="eastAsia" w:ascii="原版宋体" w:hAnsi="原版宋体" w:eastAsia="楷体_GB2312" w:cs="楷体_GB2312"/>
          <w:b w:val="0"/>
          <w:bCs w:val="0"/>
          <w:sz w:val="32"/>
          <w:szCs w:val="32"/>
          <w:lang w:val="en-US" w:eastAsia="zh-CN"/>
        </w:rPr>
        <w:t>二</w:t>
      </w:r>
      <w:r>
        <w:rPr>
          <w:rFonts w:hint="eastAsia" w:ascii="原版宋体" w:hAnsi="原版宋体" w:eastAsia="楷体_GB2312" w:cs="楷体_GB2312"/>
          <w:b w:val="0"/>
          <w:bCs w:val="0"/>
          <w:sz w:val="32"/>
          <w:szCs w:val="32"/>
          <w:lang w:eastAsia="zh-CN"/>
        </w:rPr>
        <w:t>）</w:t>
      </w:r>
      <w:r>
        <w:rPr>
          <w:rFonts w:hint="eastAsia" w:ascii="原版宋体" w:hAnsi="原版宋体" w:eastAsia="楷体_GB2312" w:cs="楷体_GB2312"/>
          <w:b w:val="0"/>
          <w:bCs w:val="0"/>
          <w:sz w:val="32"/>
          <w:szCs w:val="32"/>
        </w:rPr>
        <w:t>存在的困难、问题</w:t>
      </w:r>
    </w:p>
    <w:p w14:paraId="50DC83D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640" w:firstLineChars="200"/>
        <w:jc w:val="left"/>
        <w:textAlignment w:val="auto"/>
        <w:rPr>
          <w:rFonts w:hint="eastAsia" w:ascii="仿宋_GB2312" w:hAnsi="仿宋_GB2312" w:eastAsia="仿宋_GB2312" w:cs="仿宋_GB2312"/>
          <w:b w:val="0"/>
          <w:bCs w:val="0"/>
          <w:i w:val="0"/>
          <w:iCs w:val="0"/>
          <w:caps w:val="0"/>
          <w:color w:val="333333"/>
          <w:spacing w:val="0"/>
          <w:kern w:val="0"/>
          <w:sz w:val="32"/>
          <w:szCs w:val="32"/>
          <w:shd w:val="clear" w:color="auto"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color="auto" w:fill="FFFFFF"/>
          <w:lang w:val="en-US" w:eastAsia="zh-CN" w:bidi="ar"/>
        </w:rPr>
        <w:t>1、服务体系缺乏。大部分专技人员对服务体系意识不高，各机构妇幼健康服务技术人员配备不足，专干兼职多、任务重，队伍极不稳定，调动频繁，基础工作较为薄弱。新专干对妇幼业务不熟悉，村级保健队伍素质层次不齐，致使服务欠到位如追踪随访不及时。</w:t>
      </w:r>
    </w:p>
    <w:p w14:paraId="6A7DEE6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640" w:firstLineChars="200"/>
        <w:jc w:val="left"/>
        <w:textAlignment w:val="auto"/>
        <w:rPr>
          <w:rFonts w:hint="eastAsia" w:ascii="仿宋_GB2312" w:hAnsi="仿宋_GB2312" w:eastAsia="仿宋_GB2312" w:cs="仿宋_GB2312"/>
          <w:b w:val="0"/>
          <w:bCs w:val="0"/>
          <w:i w:val="0"/>
          <w:iCs w:val="0"/>
          <w:caps w:val="0"/>
          <w:color w:val="333333"/>
          <w:spacing w:val="0"/>
          <w:kern w:val="0"/>
          <w:sz w:val="32"/>
          <w:szCs w:val="32"/>
          <w:shd w:val="clear" w:color="auto"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color="auto" w:fill="FFFFFF"/>
          <w:lang w:val="en-US" w:eastAsia="zh-CN" w:bidi="ar"/>
        </w:rPr>
        <w:t xml:space="preserve">2、财政投入不足。财政拨款不足是影响妇幼保健机构履行妇幼健康服务职能和自身发展的重要因素。根据财政部等相关部门《关于完善政府卫生投入政策的意见》（财政[2009]66号）规定：专业公共卫生机构所需基础建设、设备配备等发展建设支出应由政府根据公共卫生事业单位发展需要足额安排，所需人员经费、公用经费和业务经费根据人员编制、经费标准、服务任务完成及考核情况由政府预算全额安排。妇幼健康服务工作属于公共卫生领域，根据《妇幼保健机构管理办法》和新医改政策的要求，各级人民政府必须举办一所不以营利为目的，具有公共卫生性质的公益性妇幼保健机构，政府应该加强在妇幼健康服务工作中的主导作用，动员全社会参与，作好统筹规划，增加经费投入、改善基础设施、稳定人员队伍、推进项目实施、加大考核力度、确保工作质量。我区妇保院现在存在基础设施较差，还缺少一些基本医疗设备，远不能适应当前妇幼保健需要，严重制约了妇幼保健机构的发展，满足不了我区妇女儿童的医疗需要。 </w:t>
      </w:r>
    </w:p>
    <w:p w14:paraId="07FA7370">
      <w:pPr>
        <w:keepNext w:val="0"/>
        <w:keepLines w:val="0"/>
        <w:pageBreakBefore w:val="0"/>
        <w:kinsoku/>
        <w:wordWrap/>
        <w:overflowPunct/>
        <w:topLinePunct w:val="0"/>
        <w:autoSpaceDE/>
        <w:autoSpaceDN/>
        <w:bidi w:val="0"/>
        <w:adjustRightInd/>
        <w:snapToGrid/>
        <w:ind w:firstLine="480" w:firstLineChars="200"/>
        <w:textAlignment w:val="auto"/>
      </w:pPr>
    </w:p>
    <w:p w14:paraId="62CA3B04">
      <w:pPr>
        <w:pStyle w:val="3"/>
      </w:pPr>
    </w:p>
    <w:p w14:paraId="5F21692B">
      <w:pPr>
        <w:pStyle w:val="3"/>
      </w:pPr>
    </w:p>
    <w:p w14:paraId="6AAF831B">
      <w:pPr>
        <w:pStyle w:val="3"/>
        <w:ind w:firstLine="4160" w:firstLineChars="1300"/>
        <w:rPr>
          <w:rFonts w:hint="eastAsia"/>
          <w:lang w:val="en-US" w:eastAsia="zh-CN"/>
        </w:rPr>
      </w:pPr>
      <w:r>
        <w:rPr>
          <w:rFonts w:hint="eastAsia"/>
          <w:lang w:val="en-US" w:eastAsia="zh-CN"/>
        </w:rPr>
        <w:t>岳阳市云溪区</w:t>
      </w:r>
      <w:bookmarkStart w:id="4" w:name="_GoBack"/>
      <w:bookmarkEnd w:id="4"/>
      <w:r>
        <w:rPr>
          <w:rFonts w:hint="eastAsia"/>
          <w:lang w:val="en-US" w:eastAsia="zh-CN"/>
        </w:rPr>
        <w:t>妇幼保健院</w:t>
      </w:r>
    </w:p>
    <w:p w14:paraId="4C88C6CB">
      <w:pPr>
        <w:pStyle w:val="3"/>
        <w:ind w:firstLine="4800" w:firstLineChars="1500"/>
        <w:rPr>
          <w:rFonts w:hint="default"/>
          <w:lang w:val="en-US" w:eastAsia="zh-CN"/>
        </w:rPr>
      </w:pPr>
      <w:r>
        <w:rPr>
          <w:rFonts w:hint="eastAsia"/>
          <w:lang w:val="en-US" w:eastAsia="zh-CN"/>
        </w:rPr>
        <w:t>2024年3月4日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原版宋体">
    <w:altName w:val="宋体"/>
    <w:panose1 w:val="02010600030101010101"/>
    <w:charset w:val="86"/>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2E25F1"/>
    <w:multiLevelType w:val="singleLevel"/>
    <w:tmpl w:val="D82E25F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jMGJkNTdmNjFiZmIzMGRiYzU4MzhhNDBmYzk3YmYifQ=="/>
  </w:docVars>
  <w:rsids>
    <w:rsidRoot w:val="152553A0"/>
    <w:rsid w:val="02F05C02"/>
    <w:rsid w:val="06217560"/>
    <w:rsid w:val="0AD942C1"/>
    <w:rsid w:val="152553A0"/>
    <w:rsid w:val="163D3B03"/>
    <w:rsid w:val="16D43419"/>
    <w:rsid w:val="25F65777"/>
    <w:rsid w:val="287265EE"/>
    <w:rsid w:val="2F8A68FF"/>
    <w:rsid w:val="37585548"/>
    <w:rsid w:val="396B1563"/>
    <w:rsid w:val="41DB7A4C"/>
    <w:rsid w:val="47FB4E8B"/>
    <w:rsid w:val="50D558A5"/>
    <w:rsid w:val="605B68F4"/>
    <w:rsid w:val="66D25ECE"/>
    <w:rsid w:val="68C023D1"/>
    <w:rsid w:val="6C852270"/>
    <w:rsid w:val="7AC62DAD"/>
    <w:rsid w:val="7AFE50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pPr>
    <w:rPr>
      <w:rFonts w:ascii="Times New Roman" w:hAnsi="Times New Roman" w:eastAsia="Times New Roman" w:cs="Times New Roman"/>
      <w:color w:val="000000"/>
      <w:sz w:val="24"/>
      <w:szCs w:val="24"/>
      <w:lang w:val="en-US" w:eastAsia="en-US" w:bidi="en-US"/>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3">
    <w:name w:val="Normal Indent"/>
    <w:autoRedefine/>
    <w:qFormat/>
    <w:uiPriority w:val="0"/>
    <w:pPr>
      <w:widowControl w:val="0"/>
      <w:ind w:firstLine="420" w:firstLineChars="200"/>
      <w:jc w:val="both"/>
    </w:pPr>
    <w:rPr>
      <w:rFonts w:ascii="Calibri" w:hAnsi="Calibri" w:eastAsia="仿宋_GB2312" w:cs="Times New Roman"/>
      <w:kern w:val="2"/>
      <w:sz w:val="32"/>
      <w:szCs w:val="24"/>
      <w:lang w:val="en-US" w:eastAsia="zh-CN" w:bidi="ar-SA"/>
    </w:rPr>
  </w:style>
  <w:style w:type="paragraph" w:styleId="4">
    <w:name w:val="footer"/>
    <w:basedOn w:val="1"/>
    <w:autoRedefine/>
    <w:semiHidden/>
    <w:unhideWhenUsed/>
    <w:qFormat/>
    <w:uiPriority w:val="99"/>
    <w:pPr>
      <w:tabs>
        <w:tab w:val="center" w:pos="4153"/>
        <w:tab w:val="right" w:pos="8306"/>
      </w:tabs>
      <w:snapToGrid w:val="0"/>
      <w:jc w:val="left"/>
    </w:pPr>
    <w:rPr>
      <w:sz w:val="18"/>
    </w:rPr>
  </w:style>
  <w:style w:type="paragraph" w:styleId="5">
    <w:name w:val="Normal (Web)"/>
    <w:basedOn w:val="1"/>
    <w:autoRedefine/>
    <w:qFormat/>
    <w:uiPriority w:val="0"/>
    <w:pPr>
      <w:spacing w:before="100" w:beforeAutospacing="1" w:after="100" w:afterAutospacing="1"/>
      <w:ind w:left="0" w:right="0"/>
      <w:jc w:val="left"/>
    </w:pPr>
    <w:rPr>
      <w:kern w:val="0"/>
      <w:sz w:val="24"/>
      <w:lang w:val="en-US" w:eastAsia="zh-CN" w:bidi="ar"/>
    </w:rPr>
  </w:style>
  <w:style w:type="paragraph" w:customStyle="1" w:styleId="8">
    <w:name w:val="Body text|1"/>
    <w:basedOn w:val="1"/>
    <w:autoRedefine/>
    <w:qFormat/>
    <w:uiPriority w:val="0"/>
    <w:pPr>
      <w:spacing w:line="408" w:lineRule="auto"/>
      <w:ind w:firstLine="400"/>
    </w:pPr>
    <w:rPr>
      <w:rFonts w:ascii="宋体" w:hAnsi="宋体" w:eastAsia="宋体" w:cs="宋体"/>
      <w:sz w:val="28"/>
      <w:szCs w:val="28"/>
      <w:lang w:val="zh-TW" w:eastAsia="zh-TW" w:bidi="zh-T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2988</Words>
  <Characters>3290</Characters>
  <Lines>0</Lines>
  <Paragraphs>0</Paragraphs>
  <TotalTime>161</TotalTime>
  <ScaleCrop>false</ScaleCrop>
  <LinksUpToDate>false</LinksUpToDate>
  <CharactersWithSpaces>3302</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2023-03-01T07:07:00Z</dcterms:created>
  <dc:creator>d11</dc:creator>
  <cp:lastModifiedBy>Profiterole</cp:lastModifiedBy>
  <dcterms:modified xsi:type="dcterms:W3CDTF">2024-09-10T08:22:18Z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7237A91A30A0440CAAE2D0A9ADAC6AA5_13</vt:lpwstr>
  </property>
</Properties>
</file>