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岳阳市云溪区司法局</w:t>
      </w:r>
      <w:r>
        <w:rPr>
          <w:rFonts w:hint="eastAsia" w:eastAsia="仿宋_GB2312"/>
          <w:sz w:val="32"/>
          <w:szCs w:val="32"/>
          <w:u w:val="single"/>
        </w:rPr>
        <w:t xml:space="preserve">            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>年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>月</w:t>
      </w:r>
      <w:r>
        <w:rPr>
          <w:rFonts w:hint="eastAsia" w:eastAsia="仿宋_GB2312"/>
          <w:sz w:val="32"/>
          <w:lang w:val="en-US" w:eastAsia="zh-CN"/>
        </w:rPr>
        <w:t>19</w:t>
      </w:r>
      <w:r>
        <w:rPr>
          <w:rFonts w:hint="eastAsia" w:eastAsia="仿宋_GB2312"/>
          <w:sz w:val="32"/>
        </w:rPr>
        <w:t>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</w:rPr>
        <w:t>岳阳市云溪财政</w:t>
      </w:r>
      <w:r>
        <w:rPr>
          <w:rFonts w:hint="eastAsia" w:eastAsia="仿宋_GB2312"/>
          <w:sz w:val="32"/>
          <w:szCs w:val="32"/>
        </w:rPr>
        <w:t>局（制）</w:t>
      </w:r>
    </w:p>
    <w:p>
      <w:pPr>
        <w:pStyle w:val="7"/>
        <w:rPr>
          <w:rFonts w:hint="eastAsia" w:eastAsia="仿宋_GB2312"/>
          <w:sz w:val="32"/>
          <w:szCs w:val="32"/>
        </w:rPr>
      </w:pPr>
    </w:p>
    <w:p>
      <w:pPr>
        <w:pStyle w:val="7"/>
        <w:rPr>
          <w:rFonts w:hint="eastAsia" w:eastAsia="仿宋_GB2312"/>
          <w:sz w:val="32"/>
          <w:szCs w:val="32"/>
        </w:rPr>
      </w:pPr>
    </w:p>
    <w:p>
      <w:pPr>
        <w:pStyle w:val="7"/>
        <w:rPr>
          <w:rFonts w:hint="eastAsia" w:eastAsia="仿宋_GB2312"/>
          <w:sz w:val="32"/>
          <w:szCs w:val="32"/>
        </w:rPr>
      </w:pPr>
    </w:p>
    <w:p>
      <w:pPr>
        <w:pStyle w:val="7"/>
        <w:rPr>
          <w:rFonts w:hint="eastAsia" w:eastAsia="仿宋_GB2312"/>
          <w:sz w:val="32"/>
          <w:szCs w:val="32"/>
        </w:rPr>
      </w:pPr>
    </w:p>
    <w:p>
      <w:pPr>
        <w:pStyle w:val="7"/>
        <w:rPr>
          <w:rFonts w:hint="eastAsia" w:eastAsia="仿宋_GB2312"/>
          <w:sz w:val="32"/>
          <w:szCs w:val="32"/>
        </w:rPr>
      </w:pPr>
    </w:p>
    <w:p>
      <w:pPr>
        <w:pStyle w:val="7"/>
        <w:rPr>
          <w:rFonts w:hint="eastAsia" w:eastAsia="仿宋_GB2312"/>
          <w:sz w:val="32"/>
          <w:szCs w:val="32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tbl>
      <w:tblPr>
        <w:tblStyle w:val="4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753"/>
        <w:gridCol w:w="780"/>
        <w:gridCol w:w="121"/>
        <w:gridCol w:w="824"/>
        <w:gridCol w:w="395"/>
        <w:gridCol w:w="1080"/>
        <w:gridCol w:w="5"/>
        <w:gridCol w:w="1257"/>
        <w:gridCol w:w="1153"/>
        <w:gridCol w:w="15"/>
        <w:gridCol w:w="311"/>
        <w:gridCol w:w="422"/>
        <w:gridCol w:w="477"/>
        <w:gridCol w:w="155"/>
        <w:gridCol w:w="30"/>
        <w:gridCol w:w="325"/>
        <w:gridCol w:w="720"/>
        <w:gridCol w:w="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9800" w:type="dxa"/>
            <w:gridSpan w:val="1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三、部门（单位）整体支出绩效自评情况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75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年初预算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全年预算数</w:t>
            </w:r>
          </w:p>
        </w:tc>
        <w:tc>
          <w:tcPr>
            <w:tcW w:w="2378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全年执行数</w:t>
            </w:r>
          </w:p>
        </w:tc>
        <w:tc>
          <w:tcPr>
            <w:tcW w:w="5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执行率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22" w:hRule="atLeast"/>
          <w:jc w:val="center"/>
        </w:trPr>
        <w:tc>
          <w:tcPr>
            <w:tcW w:w="753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98"/>
              </w:tabs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年度预算申请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（万元）</w:t>
            </w: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年度资金总额</w:t>
            </w: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567.1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741.4</w:t>
            </w:r>
          </w:p>
        </w:tc>
        <w:tc>
          <w:tcPr>
            <w:tcW w:w="2378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734.4</w:t>
            </w:r>
          </w:p>
        </w:tc>
        <w:tc>
          <w:tcPr>
            <w:tcW w:w="5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3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按收入性质分：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0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其中：一般公共预算：734.4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其中：基本支出:734.4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90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政府性基金拨款：7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 项目支出:7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2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纳入专户管理的非税收入拨款：0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其他资金：0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8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年度总体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目标</w:t>
            </w:r>
          </w:p>
        </w:tc>
        <w:tc>
          <w:tcPr>
            <w:tcW w:w="4462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预期目标</w:t>
            </w:r>
          </w:p>
        </w:tc>
        <w:tc>
          <w:tcPr>
            <w:tcW w:w="4585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实际完成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27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4462" w:type="dxa"/>
            <w:gridSpan w:val="7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推动云溪司法工作高质量发展。</w:t>
            </w:r>
          </w:p>
        </w:tc>
        <w:tc>
          <w:tcPr>
            <w:tcW w:w="4585" w:type="dxa"/>
            <w:gridSpan w:val="10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推动云溪司法工作高质量发展。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绩效指标</w:t>
            </w:r>
          </w:p>
        </w:tc>
        <w:tc>
          <w:tcPr>
            <w:tcW w:w="78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一级指标</w:t>
            </w:r>
          </w:p>
        </w:tc>
        <w:tc>
          <w:tcPr>
            <w:tcW w:w="94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二级指标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三级指标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年度指标</w:t>
            </w:r>
          </w:p>
        </w:tc>
        <w:tc>
          <w:tcPr>
            <w:tcW w:w="115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实际完成值</w:t>
            </w:r>
          </w:p>
        </w:tc>
        <w:tc>
          <w:tcPr>
            <w:tcW w:w="748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63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  <w:tc>
          <w:tcPr>
            <w:tcW w:w="2052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产出目标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50分）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质量指标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为全区经济社会发展创造良好的法治环境</w:t>
            </w:r>
          </w:p>
        </w:tc>
        <w:tc>
          <w:tcPr>
            <w:tcW w:w="125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为全区经济社会发展创造良好的法治环境</w:t>
            </w:r>
          </w:p>
        </w:tc>
        <w:tc>
          <w:tcPr>
            <w:tcW w:w="116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已完成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数量指标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开展法律宣传活动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次以上</w:t>
            </w:r>
          </w:p>
        </w:tc>
        <w:tc>
          <w:tcPr>
            <w:tcW w:w="125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开展法律宣传活动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次以上</w:t>
            </w:r>
          </w:p>
        </w:tc>
        <w:tc>
          <w:tcPr>
            <w:tcW w:w="116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已完成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调处各类矛盾纠纷500起以上</w:t>
            </w:r>
          </w:p>
        </w:tc>
        <w:tc>
          <w:tcPr>
            <w:tcW w:w="125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调处各类矛盾纠纷500起以上</w:t>
            </w:r>
          </w:p>
        </w:tc>
        <w:tc>
          <w:tcPr>
            <w:tcW w:w="116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已完成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办理法律援助案件100件以上</w:t>
            </w:r>
          </w:p>
        </w:tc>
        <w:tc>
          <w:tcPr>
            <w:tcW w:w="125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办理法律援助案件100件以上</w:t>
            </w:r>
          </w:p>
        </w:tc>
        <w:tc>
          <w:tcPr>
            <w:tcW w:w="116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已完成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时效指标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全年抓排查、重调处</w:t>
            </w:r>
          </w:p>
        </w:tc>
        <w:tc>
          <w:tcPr>
            <w:tcW w:w="125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全年抓排查、重调处</w:t>
            </w:r>
          </w:p>
        </w:tc>
        <w:tc>
          <w:tcPr>
            <w:tcW w:w="116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已完成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成本指标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投入司法行政工作专项资金100万元以上</w:t>
            </w:r>
          </w:p>
        </w:tc>
        <w:tc>
          <w:tcPr>
            <w:tcW w:w="125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投入司法行政工作专项资金100万元以上</w:t>
            </w:r>
          </w:p>
        </w:tc>
        <w:tc>
          <w:tcPr>
            <w:tcW w:w="116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已完成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效益目标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30分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排除调处矛盾纠纷，维护社会和谐稳定</w:t>
            </w:r>
          </w:p>
        </w:tc>
        <w:tc>
          <w:tcPr>
            <w:tcW w:w="125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排除调处矛盾纠纷，维护社会和谐稳定</w:t>
            </w:r>
          </w:p>
        </w:tc>
        <w:tc>
          <w:tcPr>
            <w:tcW w:w="116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已完成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经济效益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办理相关法律援助案件，确保人民群众生命财产安全，减少经济损失</w:t>
            </w:r>
          </w:p>
        </w:tc>
        <w:tc>
          <w:tcPr>
            <w:tcW w:w="125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办理相关法律援助案件，确保人民群众生命财产安全，减少经济损失</w:t>
            </w:r>
          </w:p>
        </w:tc>
        <w:tc>
          <w:tcPr>
            <w:tcW w:w="116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已完成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生态效益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生态可持续发展</w:t>
            </w:r>
          </w:p>
        </w:tc>
        <w:tc>
          <w:tcPr>
            <w:tcW w:w="125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生态可持续发展</w:t>
            </w:r>
          </w:p>
        </w:tc>
        <w:tc>
          <w:tcPr>
            <w:tcW w:w="116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已完成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满意度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10分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社会公众或服务对象满意度</w:t>
            </w:r>
          </w:p>
        </w:tc>
        <w:tc>
          <w:tcPr>
            <w:tcW w:w="1480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人民群众满意</w:t>
            </w:r>
          </w:p>
        </w:tc>
        <w:tc>
          <w:tcPr>
            <w:tcW w:w="125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人民群众满意</w:t>
            </w:r>
          </w:p>
        </w:tc>
        <w:tc>
          <w:tcPr>
            <w:tcW w:w="116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已完成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977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7322" w:type="dxa"/>
            <w:gridSpan w:val="1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917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7322" w:type="dxa"/>
            <w:gridSpan w:val="1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1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陈勇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二级主任科员、分管领导</w:t>
            </w:r>
          </w:p>
        </w:tc>
        <w:tc>
          <w:tcPr>
            <w:tcW w:w="1479" w:type="dxa"/>
            <w:gridSpan w:val="3"/>
            <w:noWrap w:val="0"/>
            <w:vAlign w:val="center"/>
          </w:tcPr>
          <w:p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岳阳市云溪区司法局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张艾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出纳</w:t>
            </w:r>
          </w:p>
        </w:tc>
        <w:tc>
          <w:tcPr>
            <w:tcW w:w="1479" w:type="dxa"/>
            <w:gridSpan w:val="3"/>
            <w:noWrap w:val="0"/>
            <w:vAlign w:val="center"/>
          </w:tcPr>
          <w:p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岳阳市云溪区司法局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鲁欣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会计</w:t>
            </w:r>
          </w:p>
        </w:tc>
        <w:tc>
          <w:tcPr>
            <w:tcW w:w="1479" w:type="dxa"/>
            <w:gridSpan w:val="3"/>
            <w:noWrap w:val="0"/>
            <w:vAlign w:val="center"/>
          </w:tcPr>
          <w:p>
            <w:pPr>
              <w:autoSpaceDN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岳阳市云溪区司法局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1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1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1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 w:cs="仿宋_GB2312"/>
          <w:bCs/>
          <w:sz w:val="28"/>
          <w:szCs w:val="28"/>
        </w:r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8" w:hRule="atLeast"/>
          <w:jc w:val="center"/>
        </w:trPr>
        <w:tc>
          <w:tcPr>
            <w:tcW w:w="955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bidi w:val="0"/>
              <w:spacing w:line="560" w:lineRule="exact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五、评价报告综述</w:t>
            </w:r>
            <w:r>
              <w:rPr>
                <w:rFonts w:hint="eastAsia" w:eastAsia="仿宋_GB2312"/>
                <w:b/>
                <w:bCs/>
                <w:sz w:val="28"/>
                <w:szCs w:val="28"/>
              </w:rPr>
              <w:t>（</w:t>
            </w:r>
            <w:r>
              <w:rPr>
                <w:rFonts w:hint="eastAsia" w:eastAsia="仿宋_GB2312"/>
                <w:b/>
                <w:bCs/>
                <w:sz w:val="28"/>
                <w:szCs w:val="28"/>
                <w:lang w:eastAsia="zh-CN"/>
              </w:rPr>
              <w:t>参考提纲</w:t>
            </w:r>
            <w:r>
              <w:rPr>
                <w:rFonts w:hint="eastAsia" w:eastAsia="仿宋_GB2312"/>
                <w:b/>
                <w:bCs/>
                <w:sz w:val="28"/>
                <w:szCs w:val="28"/>
              </w:rPr>
              <w:t>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>一、部门（单位）概况</w:t>
            </w:r>
          </w:p>
          <w:p>
            <w:pPr>
              <w:ind w:firstLine="600" w:firstLineChars="200"/>
              <w:rPr>
                <w:rFonts w:hint="default" w:ascii="仿宋_GB2312" w:hAnsi="仿宋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岳阳市云溪区司法局（简称区司法局）是区政府工作部门,为正科级。内设办公室、法治调研与督察股等6个股室，4个基层司法所。云溪司法行政系统编制28名，其中：政法专项编制23名，行政编制23名，事业编制5名。在编28人，其中：政法专项编制22人，行政编制22人，事业编制6人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二、一般公共预算支出情况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（一）基本支出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情况</w:t>
            </w:r>
          </w:p>
          <w:p>
            <w:pPr>
              <w:ind w:firstLine="600" w:firstLineChars="200"/>
              <w:rPr>
                <w:rFonts w:hint="eastAsia" w:ascii="仿宋_GB2312" w:hAnsi="仿宋" w:eastAsia="仿宋_GB2312"/>
                <w:sz w:val="30"/>
                <w:szCs w:val="30"/>
              </w:rPr>
            </w:pPr>
            <w:r>
              <w:rPr>
                <w:rFonts w:hint="eastAsia" w:ascii="仿宋_GB2312" w:hAnsi="仿宋" w:eastAsia="仿宋_GB2312"/>
                <w:sz w:val="30"/>
                <w:szCs w:val="30"/>
                <w:lang w:val="en-US" w:eastAsia="zh-CN"/>
              </w:rPr>
              <w:t>2023</w:t>
            </w:r>
            <w:r>
              <w:rPr>
                <w:rFonts w:hint="eastAsia" w:ascii="仿宋_GB2312" w:hAnsi="仿宋" w:eastAsia="仿宋_GB2312"/>
                <w:sz w:val="30"/>
                <w:szCs w:val="30"/>
              </w:rPr>
              <w:t>年，总收入</w:t>
            </w:r>
            <w:r>
              <w:rPr>
                <w:rFonts w:hint="eastAsia" w:ascii="仿宋_GB2312" w:hAnsi="仿宋" w:eastAsia="仿宋_GB2312"/>
                <w:sz w:val="30"/>
                <w:szCs w:val="30"/>
                <w:lang w:val="en-US" w:eastAsia="zh-CN"/>
              </w:rPr>
              <w:t>741.4</w:t>
            </w:r>
            <w:r>
              <w:rPr>
                <w:rFonts w:hint="eastAsia" w:ascii="仿宋_GB2312" w:hAnsi="仿宋" w:eastAsia="仿宋_GB2312"/>
                <w:sz w:val="30"/>
                <w:szCs w:val="30"/>
              </w:rPr>
              <w:t>万元，其中财政拨款</w:t>
            </w:r>
            <w:r>
              <w:rPr>
                <w:rFonts w:hint="eastAsia" w:ascii="仿宋_GB2312" w:hAnsi="仿宋" w:eastAsia="仿宋_GB2312"/>
                <w:sz w:val="30"/>
                <w:szCs w:val="30"/>
                <w:lang w:val="en-US" w:eastAsia="zh-CN"/>
              </w:rPr>
              <w:t>734.4</w:t>
            </w:r>
            <w:r>
              <w:rPr>
                <w:rFonts w:hint="eastAsia" w:ascii="仿宋_GB2312" w:hAnsi="仿宋" w:eastAsia="仿宋_GB2312"/>
                <w:sz w:val="30"/>
                <w:szCs w:val="30"/>
              </w:rPr>
              <w:t>万元，国有资本经营预算财政拨款收入</w:t>
            </w:r>
            <w:r>
              <w:rPr>
                <w:rFonts w:hint="eastAsia" w:ascii="仿宋_GB2312" w:hAnsi="仿宋" w:eastAsia="仿宋_GB2312"/>
                <w:sz w:val="30"/>
                <w:szCs w:val="30"/>
                <w:lang w:val="en-US" w:eastAsia="zh-CN"/>
              </w:rPr>
              <w:t>7万元。</w:t>
            </w:r>
            <w:r>
              <w:rPr>
                <w:rFonts w:hint="eastAsia" w:ascii="仿宋_GB2312" w:hAnsi="仿宋" w:eastAsia="仿宋_GB2312"/>
                <w:sz w:val="30"/>
                <w:szCs w:val="30"/>
              </w:rPr>
              <w:t>总支出</w:t>
            </w:r>
            <w:r>
              <w:rPr>
                <w:rFonts w:hint="eastAsia" w:ascii="仿宋_GB2312" w:hAnsi="仿宋" w:eastAsia="仿宋_GB2312"/>
                <w:sz w:val="30"/>
                <w:szCs w:val="30"/>
                <w:lang w:val="en-US" w:eastAsia="zh-CN"/>
              </w:rPr>
              <w:t>741.4</w:t>
            </w:r>
            <w:r>
              <w:rPr>
                <w:rFonts w:hint="eastAsia" w:ascii="仿宋_GB2312" w:hAnsi="仿宋" w:eastAsia="仿宋_GB2312"/>
                <w:sz w:val="30"/>
                <w:szCs w:val="30"/>
              </w:rPr>
              <w:t>万元，基本支出</w:t>
            </w:r>
            <w:r>
              <w:rPr>
                <w:rFonts w:hint="eastAsia" w:ascii="仿宋_GB2312" w:hAnsi="仿宋" w:eastAsia="仿宋_GB2312"/>
                <w:sz w:val="30"/>
                <w:szCs w:val="30"/>
                <w:lang w:val="en-US" w:eastAsia="zh-CN"/>
              </w:rPr>
              <w:t>734.4</w:t>
            </w:r>
            <w:r>
              <w:rPr>
                <w:rFonts w:hint="eastAsia" w:ascii="仿宋_GB2312" w:hAnsi="仿宋" w:eastAsia="仿宋_GB2312"/>
                <w:sz w:val="30"/>
                <w:szCs w:val="30"/>
              </w:rPr>
              <w:t>万元，其中人员支出</w:t>
            </w:r>
            <w:r>
              <w:rPr>
                <w:rFonts w:hint="eastAsia" w:ascii="仿宋_GB2312" w:hAnsi="仿宋" w:eastAsia="仿宋_GB2312"/>
                <w:sz w:val="30"/>
                <w:szCs w:val="30"/>
                <w:lang w:val="en-US" w:eastAsia="zh-CN"/>
              </w:rPr>
              <w:t>441.76</w:t>
            </w:r>
            <w:r>
              <w:rPr>
                <w:rFonts w:hint="eastAsia" w:ascii="仿宋_GB2312" w:hAnsi="仿宋" w:eastAsia="仿宋_GB2312"/>
                <w:sz w:val="30"/>
                <w:szCs w:val="30"/>
              </w:rPr>
              <w:t>万，公用支出</w:t>
            </w:r>
            <w:r>
              <w:rPr>
                <w:rFonts w:hint="eastAsia" w:ascii="仿宋_GB2312" w:hAnsi="仿宋" w:eastAsia="仿宋_GB2312"/>
                <w:sz w:val="30"/>
                <w:szCs w:val="30"/>
                <w:lang w:val="en-US" w:eastAsia="zh-CN"/>
              </w:rPr>
              <w:t>292.66</w:t>
            </w:r>
            <w:r>
              <w:rPr>
                <w:rFonts w:hint="eastAsia" w:ascii="仿宋_GB2312" w:hAnsi="仿宋" w:eastAsia="仿宋_GB2312"/>
                <w:sz w:val="30"/>
                <w:szCs w:val="30"/>
              </w:rPr>
              <w:t>万元。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（二）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支出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情况</w:t>
            </w:r>
          </w:p>
          <w:p>
            <w:pPr>
              <w:ind w:firstLine="600" w:firstLineChars="200"/>
              <w:rPr>
                <w:rFonts w:hint="default" w:ascii="仿宋_GB2312" w:hAnsi="仿宋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2023</w:t>
            </w:r>
            <w:r>
              <w:rPr>
                <w:rFonts w:hint="eastAsia" w:ascii="仿宋_GB2312" w:hAnsi="仿宋" w:eastAsia="仿宋_GB2312" w:cs="Times New Roman"/>
                <w:sz w:val="30"/>
                <w:szCs w:val="30"/>
                <w:lang w:eastAsia="zh-CN"/>
              </w:rPr>
              <w:t>年度区级专项资金</w:t>
            </w: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112.5万元</w:t>
            </w:r>
            <w:r>
              <w:rPr>
                <w:rFonts w:hint="eastAsia" w:ascii="仿宋_GB2312" w:hAnsi="仿宋" w:eastAsia="仿宋_GB2312" w:cs="Times New Roman"/>
                <w:sz w:val="30"/>
                <w:szCs w:val="30"/>
                <w:lang w:eastAsia="zh-CN"/>
              </w:rPr>
              <w:t>，其中：法律服务政府购买</w:t>
            </w: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12万元、法律援助6.5万元、交通调解委员会13.5万元、普法宣传6.5万元、人民调解、以奖代补(含两厂市政、社区移交管理事务)13万元、社区矫正31万元、行政复议与诉讼15万元、华浩污水处理厂提标达效工作经费15万元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政府性基金预算支出情况</w:t>
            </w:r>
          </w:p>
          <w:p>
            <w:pPr>
              <w:ind w:firstLine="600" w:firstLineChars="200"/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无。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国有资本经营预算支出情况</w:t>
            </w:r>
          </w:p>
          <w:p>
            <w:pPr>
              <w:ind w:firstLine="600" w:firstLineChars="200"/>
              <w:rPr>
                <w:rFonts w:hint="default" w:ascii="仿宋_GB2312" w:hAnsi="仿宋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2023年国有资本经营预算7万元，支出七万元。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社会保险基金预算支出情况</w:t>
            </w:r>
          </w:p>
          <w:p>
            <w:pPr>
              <w:ind w:firstLine="600" w:firstLineChars="200"/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无。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六、部门整体支出绩效情况</w:t>
            </w:r>
          </w:p>
          <w:p>
            <w:pPr>
              <w:ind w:firstLine="600" w:firstLineChars="200"/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通过制定年度部门整体支出绩效目标、项目支出绩效目标，在各项指标执行过程中进行整体运行监控，极大地保障了司法行政系统职能得到有效的实现，专项资金严格落实了专款专用，公用经费得到了高效的使用，“三公经费”控制率得到了有效控制，年度工作按照计划有序开展，工作效率得到了提高，受到社会群众的支持和认可。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七、存在的问题及原因分析</w:t>
            </w:r>
          </w:p>
          <w:p>
            <w:pPr>
              <w:ind w:firstLine="600" w:firstLineChars="200"/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一般公共预算资金支出少，资金压力大。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下一步改进措施</w:t>
            </w:r>
          </w:p>
          <w:p>
            <w:pPr>
              <w:ind w:firstLine="600" w:firstLineChars="200"/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1.细化预算编制工作，进一步做好预算的编制。加强内设机构的预算管理意识，严格按照预算编制的相关制度和要求进行预算编制。</w:t>
            </w:r>
          </w:p>
          <w:p>
            <w:pPr>
              <w:ind w:firstLine="600" w:firstLineChars="200"/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2.加强财务管理，严格财务审核。加强单位财务管理，健全单位财务管理制度体系，规范单位财务行为。在费用报账支付时，按照预算规定的费用项目和用途进行资金使用审核、财务严格核算，杜绝超支现象的发生。</w:t>
            </w:r>
          </w:p>
          <w:p>
            <w:pPr>
              <w:ind w:firstLine="600" w:firstLineChars="200"/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3.完善资产管理，抓好“三公”经费控制。严格编制政府采购年初预算和计划，规范各类资产的购置审批制度、资产采购制度、使用管理制度、资产处置和报废审批制度、资产管理岗位职责制度等，加强单位内部的资产管理工作。严格控制“三公”经费的规模和比例，把关“三公”经费支出的审核、审批，杜绝挪用和挤占其他预算资金行为；进一步细化“三公”经费的管理，合理压缩“三公”经费支出。</w:t>
            </w:r>
          </w:p>
          <w:p>
            <w:pPr>
              <w:ind w:firstLine="600" w:firstLineChars="200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4.对相关人员加强培训，特别是针对《预算法》、《行政事业单位会计制度》等学习培训，规范部门预算收支核算，切实提高部门预算收支管理水平。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九、其他需要说明的情况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0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0"/>
                <w:szCs w:val="30"/>
                <w:lang w:val="en-US" w:eastAsia="zh-CN"/>
              </w:rPr>
              <w:t>无。</w:t>
            </w:r>
          </w:p>
        </w:tc>
      </w:tr>
    </w:tbl>
    <w:p>
      <w:r>
        <w:rPr>
          <w:rFonts w:eastAsia="楷体_GB2312"/>
          <w:bCs/>
          <w:sz w:val="28"/>
          <w:szCs w:val="28"/>
        </w:rPr>
        <w:br w:type="page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6"/>
        <w:sz w:val="24"/>
        <w:szCs w:val="24"/>
      </w:rPr>
    </w:pPr>
    <w:r>
      <w:rPr>
        <w:rStyle w:val="6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6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6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6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392AFD"/>
    <w:multiLevelType w:val="singleLevel"/>
    <w:tmpl w:val="2A392AFD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6CF601A"/>
    <w:multiLevelType w:val="singleLevel"/>
    <w:tmpl w:val="66CF601A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FkOTJmODM0MGRhNTJiNTQyODkzNTVjZGYxMGJjODMifQ=="/>
  </w:docVars>
  <w:rsids>
    <w:rsidRoot w:val="5AC6738A"/>
    <w:rsid w:val="5AC6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head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  <w:style w:type="paragraph" w:customStyle="1" w:styleId="7">
    <w:name w:val="BodyText1I"/>
    <w:basedOn w:val="1"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styleId="8">
    <w:name w:val="List Paragraph"/>
    <w:basedOn w:val="1"/>
    <w:qFormat/>
    <w:uiPriority w:val="99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2024-09-25T04:38:00Z</dcterms:created>
  <dc:creator>鲁欣</dc:creator>
  <cp:lastModifiedBy>鲁欣</cp:lastModifiedBy>
  <dcterms:modified xsi:type="dcterms:W3CDTF">2024-09-25T04:38:33Z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E8C514488DDB4052830927A13051DABE_11</vt:lpwstr>
  </property>
</Properties>
</file>