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outlineLvl w:val="9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附件2</w:t>
      </w:r>
    </w:p>
    <w:p>
      <w:pPr>
        <w:keepNext w:val="0"/>
        <w:keepLines w:val="0"/>
        <w:pageBreakBefore w:val="0"/>
        <w:widowControl/>
        <w:tabs>
          <w:tab w:val="left" w:pos="3611"/>
          <w:tab w:val="left" w:pos="4791"/>
          <w:tab w:val="left" w:pos="5951"/>
          <w:tab w:val="left" w:pos="7071"/>
          <w:tab w:val="left" w:pos="8191"/>
          <w:tab w:val="left" w:pos="931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91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/>
        </w:rPr>
        <w:t>部门整体支出绩效评价基础数据表</w:t>
      </w:r>
    </w:p>
    <w:p>
      <w:pPr>
        <w:widowControl/>
        <w:tabs>
          <w:tab w:val="left" w:pos="3611"/>
          <w:tab w:val="left" w:pos="4791"/>
          <w:tab w:val="left" w:pos="5951"/>
          <w:tab w:val="left" w:pos="7071"/>
          <w:tab w:val="left" w:pos="8191"/>
          <w:tab w:val="left" w:pos="9311"/>
        </w:tabs>
        <w:ind w:left="91"/>
        <w:jc w:val="left"/>
        <w:rPr>
          <w:rFonts w:hint="eastAsia" w:eastAsia="仿宋_GB2312"/>
          <w:kern w:val="0"/>
          <w:sz w:val="24"/>
          <w:lang w:val="en-US" w:eastAsia="zh-CN"/>
        </w:rPr>
      </w:pPr>
      <w:r>
        <w:rPr>
          <w:rFonts w:hint="eastAsia" w:eastAsia="仿宋_GB2312"/>
          <w:kern w:val="0"/>
          <w:sz w:val="24"/>
          <w:lang w:val="en-US" w:eastAsia="zh-CN"/>
        </w:rPr>
        <w:t xml:space="preserve">填报单位：岳阳市云溪区公办幼儿园                                   </w:t>
      </w:r>
    </w:p>
    <w:tbl>
      <w:tblPr>
        <w:tblStyle w:val="7"/>
        <w:tblW w:w="5425" w:type="pct"/>
        <w:tblInd w:w="-34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26"/>
        <w:gridCol w:w="792"/>
        <w:gridCol w:w="1222"/>
        <w:gridCol w:w="925"/>
        <w:gridCol w:w="1325"/>
        <w:gridCol w:w="976"/>
        <w:gridCol w:w="124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661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财政供养人员情况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编制数</w:t>
            </w: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2023年实际在职人数</w:t>
            </w: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控制率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1661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16</w:t>
            </w: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110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687.50%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经费控制情况(万元)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2022年决算数</w:t>
            </w: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2023年预算数</w:t>
            </w: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2023年决算数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三公经费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0.43</w:t>
            </w: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1、公务用车购置和维护经费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其中：公车购置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公车运行维护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2、出国经费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3、公务接待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0.43</w:t>
            </w: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项目支出：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1247.82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1247.82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1、业务工作经费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2、运行维护经费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1247.82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1247.82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3、本级专项资金（一个专项一行）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公用经费：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180.40</w:t>
            </w: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190.83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190.83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其中：办公经费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4.65</w:t>
            </w: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12.79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12.79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水费、电费、差旅费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10.62</w:t>
            </w: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4.06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4.06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会议费、培训费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10.77</w:t>
            </w: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8.66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8.66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政府采购金额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部门基本支出预算调整 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6" w:hRule="atLeast"/>
        </w:trPr>
        <w:tc>
          <w:tcPr>
            <w:tcW w:w="1661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楼堂馆所控制情况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（2023年完工项目）</w:t>
            </w:r>
          </w:p>
        </w:tc>
        <w:tc>
          <w:tcPr>
            <w:tcW w:w="40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批复规模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（㎡）</w:t>
            </w:r>
          </w:p>
        </w:tc>
        <w:tc>
          <w:tcPr>
            <w:tcW w:w="6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实际规模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（㎡）</w:t>
            </w:r>
          </w:p>
        </w:tc>
        <w:tc>
          <w:tcPr>
            <w:tcW w:w="47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规模控制率</w:t>
            </w:r>
          </w:p>
        </w:tc>
        <w:tc>
          <w:tcPr>
            <w:tcW w:w="6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预算投资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50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实际投资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6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投资概算控制率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66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0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2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厉行节约保障措施</w:t>
            </w:r>
          </w:p>
        </w:tc>
        <w:tc>
          <w:tcPr>
            <w:tcW w:w="3338" w:type="pct"/>
            <w:gridSpan w:val="6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>
      <w:pPr>
        <w:pStyle w:val="1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left="0" w:leftChars="0" w:firstLine="0" w:firstLineChars="0"/>
        <w:textAlignment w:val="auto"/>
        <w:outlineLvl w:val="9"/>
        <w:rPr>
          <w:rFonts w:eastAsia="仿宋_GB2312"/>
          <w:kern w:val="0"/>
          <w:sz w:val="22"/>
        </w:rPr>
      </w:pPr>
    </w:p>
    <w:p>
      <w:pPr>
        <w:pStyle w:val="1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left="0" w:leftChars="0" w:firstLine="0" w:firstLineChars="0"/>
        <w:textAlignment w:val="auto"/>
        <w:outlineLvl w:val="9"/>
        <w:rPr>
          <w:rFonts w:hint="eastAsia"/>
          <w:lang w:val="en-US" w:eastAsia="zh-CN"/>
        </w:rPr>
      </w:pPr>
      <w:r>
        <w:rPr>
          <w:rFonts w:eastAsia="仿宋_GB2312"/>
          <w:kern w:val="0"/>
          <w:sz w:val="22"/>
        </w:rPr>
        <w:t>说明：“项目支出”需要填报基本支出以外的所有项目支出情况，“公用经费”填报基本支出中的一般商品和服务支出。</w:t>
      </w:r>
    </w:p>
    <w:p>
      <w:pPr>
        <w:widowControl w:val="0"/>
        <w:kinsoku/>
        <w:autoSpaceDE/>
        <w:autoSpaceDN/>
        <w:adjustRightInd/>
        <w:snapToGrid/>
        <w:spacing w:line="600" w:lineRule="exact"/>
        <w:jc w:val="both"/>
        <w:textAlignment w:val="auto"/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>填表人：</w:t>
      </w:r>
      <w:r>
        <w:rPr>
          <w:rFonts w:hint="eastAsia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 xml:space="preserve">      </w:t>
      </w:r>
      <w:r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 xml:space="preserve">  填报日期：</w:t>
      </w:r>
      <w:r>
        <w:rPr>
          <w:rFonts w:hint="eastAsia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 xml:space="preserve">        </w:t>
      </w:r>
      <w:r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>联系电话：</w:t>
      </w:r>
      <w:r>
        <w:rPr>
          <w:rFonts w:hint="eastAsia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 xml:space="preserve">       </w:t>
      </w:r>
      <w:r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>单位负责人签字：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ascii="黑体" w:hAnsi="黑体" w:eastAsia="黑体" w:cs="黑体"/>
          <w:bCs/>
          <w:sz w:val="32"/>
          <w:szCs w:val="32"/>
        </w:rPr>
        <w:sectPr>
          <w:footerReference r:id="rId3" w:type="default"/>
          <w:footerReference r:id="rId4" w:type="even"/>
          <w:pgSz w:w="11906" w:h="16838"/>
          <w:pgMar w:top="1588" w:right="1588" w:bottom="1588" w:left="1588" w:header="851" w:footer="992" w:gutter="0"/>
          <w:pgNumType w:start="1"/>
          <w:cols w:space="720" w:num="1"/>
          <w:titlePg/>
          <w:docGrid w:type="linesAndChars" w:linePitch="602" w:charSpace="-782"/>
        </w:sect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附件</w:t>
      </w:r>
      <w:r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  <w:t>3-1</w:t>
      </w:r>
      <w:r>
        <w:rPr>
          <w:rFonts w:hint="eastAsia" w:ascii="黑体" w:hAnsi="黑体" w:eastAsia="黑体" w:cs="黑体"/>
          <w:bCs/>
          <w:sz w:val="32"/>
          <w:szCs w:val="32"/>
        </w:rPr>
        <w:t>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ascii="黑体" w:hAnsi="黑体" w:eastAsia="黑体" w:cs="黑体"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0"/>
        <w:rPr>
          <w:rFonts w:hint="eastAsia" w:ascii="宋体" w:hAnsi="宋体" w:eastAsia="宋体" w:cs="宋体"/>
          <w:b/>
          <w:bCs w:val="0"/>
          <w:sz w:val="46"/>
          <w:szCs w:val="46"/>
        </w:rPr>
      </w:pPr>
      <w:r>
        <w:rPr>
          <w:rFonts w:hint="eastAsia" w:ascii="宋体" w:hAnsi="宋体" w:eastAsia="宋体" w:cs="宋体"/>
          <w:b/>
          <w:bCs w:val="0"/>
          <w:sz w:val="46"/>
          <w:szCs w:val="46"/>
        </w:rPr>
        <w:t>岳阳市云溪区</w:t>
      </w:r>
      <w:r>
        <w:rPr>
          <w:rFonts w:hint="eastAsia" w:ascii="宋体" w:hAnsi="宋体" w:eastAsia="宋体" w:cs="宋体"/>
          <w:b/>
          <w:bCs w:val="0"/>
          <w:sz w:val="46"/>
          <w:szCs w:val="46"/>
          <w:u w:val="single"/>
        </w:rPr>
        <w:t>20</w:t>
      </w:r>
      <w:r>
        <w:rPr>
          <w:rFonts w:hint="eastAsia" w:ascii="宋体" w:hAnsi="宋体" w:eastAsia="宋体" w:cs="宋体"/>
          <w:b/>
          <w:bCs w:val="0"/>
          <w:sz w:val="46"/>
          <w:szCs w:val="46"/>
          <w:u w:val="single"/>
          <w:lang w:val="en-US" w:eastAsia="zh-CN"/>
        </w:rPr>
        <w:t>23</w:t>
      </w:r>
      <w:r>
        <w:rPr>
          <w:rFonts w:hint="eastAsia" w:ascii="宋体" w:hAnsi="宋体" w:eastAsia="宋体" w:cs="宋体"/>
          <w:b/>
          <w:bCs w:val="0"/>
          <w:sz w:val="46"/>
          <w:szCs w:val="46"/>
        </w:rPr>
        <w:t>年度部门整体支出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宋体" w:cs="宋体"/>
          <w:b/>
          <w:bCs w:val="0"/>
          <w:sz w:val="46"/>
          <w:szCs w:val="46"/>
        </w:rPr>
      </w:pPr>
      <w:r>
        <w:rPr>
          <w:rFonts w:hint="eastAsia" w:ascii="宋体" w:hAnsi="宋体" w:eastAsia="宋体" w:cs="宋体"/>
          <w:b/>
          <w:bCs w:val="0"/>
          <w:sz w:val="46"/>
          <w:szCs w:val="46"/>
        </w:rPr>
        <w:t>绩效评价自评报告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  <w:lang w:val="en-US" w:eastAsia="zh-CN"/>
        </w:rPr>
      </w:pPr>
      <w:r>
        <w:rPr>
          <w:rFonts w:hint="eastAsia" w:eastAsia="仿宋_GB2312"/>
          <w:b/>
          <w:sz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z w:val="32"/>
          <w:szCs w:val="32"/>
          <w:u w:val="single"/>
        </w:rPr>
      </w:pPr>
      <w:r>
        <w:rPr>
          <w:rFonts w:hint="eastAsia" w:eastAsia="仿宋_GB2312"/>
          <w:sz w:val="32"/>
          <w:szCs w:val="32"/>
        </w:rPr>
        <w:t>部门(单位)名称：</w:t>
      </w:r>
      <w:r>
        <w:rPr>
          <w:rFonts w:hint="eastAsia" w:eastAsia="仿宋_GB2312"/>
          <w:sz w:val="32"/>
          <w:szCs w:val="32"/>
          <w:u w:val="single"/>
        </w:rPr>
        <w:t xml:space="preserve"> </w:t>
      </w:r>
      <w:r>
        <w:rPr>
          <w:rFonts w:hint="eastAsia" w:eastAsia="仿宋_GB2312"/>
          <w:sz w:val="32"/>
          <w:szCs w:val="32"/>
          <w:u w:val="single"/>
          <w:lang w:eastAsia="zh-CN"/>
        </w:rPr>
        <w:t>岳阳市云溪区公办幼儿园</w:t>
      </w:r>
      <w:r>
        <w:rPr>
          <w:rFonts w:hint="eastAsia" w:eastAsia="仿宋_GB2312"/>
          <w:sz w:val="32"/>
          <w:szCs w:val="32"/>
          <w:u w:val="single"/>
        </w:rPr>
        <w:t xml:space="preserve">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pacing w:val="20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预</w:t>
      </w:r>
      <w:r>
        <w:rPr>
          <w:rFonts w:hint="eastAsia" w:eastAsia="仿宋_GB2312"/>
          <w:spacing w:val="30"/>
          <w:sz w:val="32"/>
          <w:szCs w:val="32"/>
        </w:rPr>
        <w:t xml:space="preserve"> 算 编 码：</w:t>
      </w:r>
      <w:r>
        <w:rPr>
          <w:rFonts w:hint="eastAsia" w:eastAsia="仿宋_GB2312"/>
          <w:spacing w:val="20"/>
          <w:sz w:val="32"/>
          <w:szCs w:val="32"/>
          <w:u w:val="single"/>
        </w:rPr>
        <w:t xml:space="preserve"> </w:t>
      </w:r>
      <w:r>
        <w:rPr>
          <w:rFonts w:hint="eastAsia" w:eastAsia="仿宋_GB2312"/>
          <w:spacing w:val="20"/>
          <w:sz w:val="32"/>
          <w:szCs w:val="32"/>
          <w:u w:val="single"/>
          <w:lang w:val="en-US" w:eastAsia="zh-CN"/>
        </w:rPr>
        <w:t>139025</w:t>
      </w:r>
      <w:r>
        <w:rPr>
          <w:rFonts w:hint="eastAsia" w:eastAsia="仿宋_GB2312"/>
          <w:spacing w:val="20"/>
          <w:sz w:val="32"/>
          <w:szCs w:val="32"/>
          <w:u w:val="single"/>
        </w:rPr>
        <w:t xml:space="preserve">      </w:t>
      </w:r>
      <w:r>
        <w:rPr>
          <w:rFonts w:hint="eastAsia" w:eastAsia="仿宋_GB2312"/>
          <w:spacing w:val="20"/>
          <w:sz w:val="32"/>
          <w:szCs w:val="32"/>
          <w:u w:val="single"/>
          <w:lang w:val="en-US" w:eastAsia="zh-CN"/>
        </w:rPr>
        <w:t xml:space="preserve"> 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评价方式：部门（单位）绩效自评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 xml:space="preserve">评价机构：部门（单位）评价组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2188" w:firstLineChars="690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2188" w:firstLineChars="690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2188" w:firstLineChars="690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jc w:val="center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jc w:val="center"/>
        <w:rPr>
          <w:rFonts w:hint="eastAsia" w:eastAsia="仿宋_GB2312"/>
          <w:sz w:val="32"/>
        </w:rPr>
      </w:pPr>
      <w:r>
        <w:rPr>
          <w:rFonts w:hint="eastAsia" w:eastAsia="仿宋_GB2312"/>
          <w:sz w:val="32"/>
          <w:lang w:val="en-US" w:eastAsia="zh-CN"/>
        </w:rPr>
        <w:t xml:space="preserve">         </w:t>
      </w:r>
      <w:r>
        <w:rPr>
          <w:rFonts w:hint="eastAsia" w:eastAsia="仿宋_GB2312"/>
          <w:sz w:val="32"/>
        </w:rPr>
        <w:t>报告日期：</w:t>
      </w:r>
      <w:r>
        <w:rPr>
          <w:rFonts w:hint="eastAsia" w:eastAsia="仿宋_GB2312"/>
          <w:sz w:val="32"/>
          <w:lang w:val="en-US" w:eastAsia="zh-CN"/>
        </w:rPr>
        <w:t>2024</w:t>
      </w:r>
      <w:r>
        <w:rPr>
          <w:rFonts w:hint="eastAsia" w:eastAsia="仿宋_GB2312"/>
          <w:sz w:val="32"/>
        </w:rPr>
        <w:t xml:space="preserve"> 年 </w:t>
      </w:r>
      <w:r>
        <w:rPr>
          <w:rFonts w:hint="eastAsia" w:eastAsia="仿宋_GB2312"/>
          <w:sz w:val="32"/>
          <w:lang w:val="en-US" w:eastAsia="zh-CN"/>
        </w:rPr>
        <w:t>6</w:t>
      </w:r>
      <w:r>
        <w:rPr>
          <w:rFonts w:hint="eastAsia" w:eastAsia="仿宋_GB2312"/>
          <w:sz w:val="32"/>
        </w:rPr>
        <w:t xml:space="preserve">  月 </w:t>
      </w:r>
      <w:r>
        <w:rPr>
          <w:rFonts w:hint="eastAsia" w:eastAsia="仿宋_GB2312"/>
          <w:sz w:val="32"/>
          <w:lang w:val="en-US" w:eastAsia="zh-CN"/>
        </w:rPr>
        <w:t>17</w:t>
      </w:r>
      <w:r>
        <w:rPr>
          <w:rFonts w:hint="eastAsia" w:eastAsia="仿宋_GB2312"/>
          <w:sz w:val="32"/>
        </w:rPr>
        <w:t xml:space="preserve">  日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 w:val="0"/>
        <w:bidi w:val="0"/>
        <w:spacing w:line="560" w:lineRule="exact"/>
        <w:jc w:val="center"/>
        <w:textAlignment w:val="center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lang w:val="en-US" w:eastAsia="zh-CN"/>
        </w:rPr>
        <w:t xml:space="preserve">          </w:t>
      </w:r>
      <w:r>
        <w:rPr>
          <w:rFonts w:hint="eastAsia" w:eastAsia="仿宋_GB2312"/>
          <w:sz w:val="32"/>
          <w:lang w:eastAsia="zh-CN"/>
        </w:rPr>
        <w:t>岳阳市云溪区公办幼儿园</w:t>
      </w:r>
      <w:r>
        <w:rPr>
          <w:rFonts w:hint="eastAsia" w:eastAsia="仿宋_GB2312"/>
          <w:sz w:val="32"/>
          <w:szCs w:val="32"/>
        </w:rPr>
        <w:t>（制）</w:t>
      </w:r>
    </w:p>
    <w:p>
      <w:pPr>
        <w:pStyle w:val="12"/>
        <w:rPr>
          <w:rFonts w:hint="eastAsia" w:eastAsia="仿宋_GB2312"/>
          <w:sz w:val="32"/>
          <w:szCs w:val="32"/>
        </w:rPr>
      </w:pPr>
    </w:p>
    <w:p>
      <w:pPr>
        <w:pStyle w:val="12"/>
        <w:rPr>
          <w:rFonts w:hint="eastAsia" w:eastAsia="仿宋_GB2312"/>
          <w:sz w:val="32"/>
          <w:szCs w:val="32"/>
        </w:rPr>
      </w:pPr>
    </w:p>
    <w:p>
      <w:pPr>
        <w:pStyle w:val="12"/>
        <w:rPr>
          <w:rFonts w:hint="eastAsia" w:eastAsia="仿宋_GB2312"/>
          <w:sz w:val="32"/>
          <w:szCs w:val="32"/>
        </w:rPr>
      </w:pPr>
    </w:p>
    <w:p>
      <w:pPr>
        <w:pStyle w:val="12"/>
        <w:rPr>
          <w:rFonts w:hint="eastAsia" w:eastAsia="仿宋_GB2312"/>
          <w:sz w:val="32"/>
          <w:szCs w:val="32"/>
        </w:rPr>
      </w:pPr>
    </w:p>
    <w:p>
      <w:pPr>
        <w:pStyle w:val="12"/>
        <w:rPr>
          <w:rFonts w:hint="eastAsia" w:eastAsia="仿宋_GB2312"/>
          <w:sz w:val="32"/>
          <w:szCs w:val="32"/>
        </w:rPr>
      </w:pPr>
    </w:p>
    <w:p>
      <w:pPr>
        <w:pStyle w:val="12"/>
        <w:rPr>
          <w:rFonts w:hint="eastAsia" w:eastAsia="仿宋_GB2312"/>
          <w:sz w:val="32"/>
          <w:szCs w:val="32"/>
        </w:rPr>
        <w:sectPr>
          <w:pgSz w:w="11906" w:h="16838"/>
          <w:pgMar w:top="1588" w:right="1588" w:bottom="1588" w:left="1588" w:header="851" w:footer="992" w:gutter="0"/>
          <w:pgNumType w:start="1"/>
          <w:cols w:space="720" w:num="1"/>
          <w:titlePg/>
          <w:docGrid w:type="linesAndChars" w:linePitch="602" w:charSpace="-782"/>
        </w:sectPr>
      </w:pPr>
    </w:p>
    <w:p/>
    <w:p>
      <w:pPr>
        <w:keepNext w:val="0"/>
        <w:keepLines w:val="0"/>
        <w:pageBreakBefore w:val="0"/>
        <w:widowControl/>
        <w:tabs>
          <w:tab w:val="left" w:pos="3611"/>
          <w:tab w:val="left" w:pos="4791"/>
          <w:tab w:val="left" w:pos="5951"/>
          <w:tab w:val="left" w:pos="7071"/>
          <w:tab w:val="left" w:pos="8191"/>
          <w:tab w:val="left" w:pos="931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91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/>
        </w:rPr>
        <w:t>整体支出绩效自评表</w:t>
      </w:r>
    </w:p>
    <w:tbl>
      <w:tblPr>
        <w:tblStyle w:val="7"/>
        <w:tblW w:w="5495" w:type="pct"/>
        <w:tblInd w:w="-12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2"/>
        <w:gridCol w:w="856"/>
        <w:gridCol w:w="887"/>
        <w:gridCol w:w="412"/>
        <w:gridCol w:w="1077"/>
        <w:gridCol w:w="1170"/>
        <w:gridCol w:w="990"/>
        <w:gridCol w:w="968"/>
        <w:gridCol w:w="666"/>
        <w:gridCol w:w="626"/>
        <w:gridCol w:w="96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</w:tblPrEx>
        <w:trPr>
          <w:trHeight w:val="764" w:hRule="atLeast"/>
        </w:trPr>
        <w:tc>
          <w:tcPr>
            <w:tcW w:w="8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预算部门名称</w:t>
            </w:r>
          </w:p>
        </w:tc>
        <w:tc>
          <w:tcPr>
            <w:tcW w:w="4141" w:type="pct"/>
            <w:gridSpan w:val="9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eastAsia="仿宋_GB2312"/>
                <w:kern w:val="0"/>
                <w:sz w:val="24"/>
                <w:lang w:val="en-US" w:eastAsia="zh-CN"/>
              </w:rPr>
              <w:t>岳阳市云溪区公办幼儿园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858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年度预算申请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(万元)</w:t>
            </w: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年初预算数(万元)</w:t>
            </w:r>
          </w:p>
        </w:tc>
        <w:tc>
          <w:tcPr>
            <w:tcW w:w="62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全年预算数（万元）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全年执行数（万元）</w:t>
            </w:r>
          </w:p>
        </w:tc>
        <w:tc>
          <w:tcPr>
            <w:tcW w:w="872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分值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执行率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年度资金总额：</w:t>
            </w:r>
          </w:p>
        </w:tc>
        <w:tc>
          <w:tcPr>
            <w:tcW w:w="57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1120.54</w:t>
            </w:r>
          </w:p>
        </w:tc>
        <w:tc>
          <w:tcPr>
            <w:tcW w:w="62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2121.43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2121.43</w:t>
            </w:r>
          </w:p>
        </w:tc>
        <w:tc>
          <w:tcPr>
            <w:tcW w:w="872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100.00%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21" w:type="pct"/>
            <w:gridSpan w:val="5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按收入性质分：</w:t>
            </w:r>
          </w:p>
        </w:tc>
        <w:tc>
          <w:tcPr>
            <w:tcW w:w="1720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按支出性质分：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一般公共预算：</w:t>
            </w:r>
          </w:p>
        </w:tc>
        <w:tc>
          <w:tcPr>
            <w:tcW w:w="1727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2121.43</w:t>
            </w:r>
          </w:p>
        </w:tc>
        <w:tc>
          <w:tcPr>
            <w:tcW w:w="872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其中:基本支出：</w:t>
            </w:r>
          </w:p>
        </w:tc>
        <w:tc>
          <w:tcPr>
            <w:tcW w:w="848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873.61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政府性基金拨款：</w:t>
            </w:r>
          </w:p>
        </w:tc>
        <w:tc>
          <w:tcPr>
            <w:tcW w:w="1727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纳入专户管理的非税收入拨款：</w:t>
            </w:r>
          </w:p>
        </w:tc>
        <w:tc>
          <w:tcPr>
            <w:tcW w:w="1727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项目支出：</w:t>
            </w:r>
          </w:p>
        </w:tc>
        <w:tc>
          <w:tcPr>
            <w:tcW w:w="848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1247.82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其他资金</w:t>
            </w:r>
          </w:p>
        </w:tc>
        <w:tc>
          <w:tcPr>
            <w:tcW w:w="1727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</w:p>
        </w:tc>
        <w:tc>
          <w:tcPr>
            <w:tcW w:w="872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</w:trPr>
        <w:tc>
          <w:tcPr>
            <w:tcW w:w="858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年度总体目标</w:t>
            </w:r>
          </w:p>
        </w:tc>
        <w:tc>
          <w:tcPr>
            <w:tcW w:w="2421" w:type="pct"/>
            <w:gridSpan w:val="5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预期目标</w:t>
            </w:r>
          </w:p>
        </w:tc>
        <w:tc>
          <w:tcPr>
            <w:tcW w:w="1720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实际完成情况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21" w:type="pct"/>
            <w:gridSpan w:val="5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目标1：按时足额发放教师工资与绩效工资，保民生。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目标2：及时拨付公用经费，保运转。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目标3：按时拨付、落实项目资金，保安全。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目标4：落实建设经费，积极改善办学条件，促均衡。</w:t>
            </w:r>
          </w:p>
        </w:tc>
        <w:tc>
          <w:tcPr>
            <w:tcW w:w="1720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已按计划完成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</w:trPr>
        <w:tc>
          <w:tcPr>
            <w:tcW w:w="401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绩效指标</w:t>
            </w:r>
          </w:p>
        </w:tc>
        <w:tc>
          <w:tcPr>
            <w:tcW w:w="456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一级指标</w:t>
            </w:r>
          </w:p>
        </w:tc>
        <w:tc>
          <w:tcPr>
            <w:tcW w:w="473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二级指标</w:t>
            </w:r>
          </w:p>
        </w:tc>
        <w:tc>
          <w:tcPr>
            <w:tcW w:w="794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三级指标</w:t>
            </w:r>
          </w:p>
        </w:tc>
        <w:tc>
          <w:tcPr>
            <w:tcW w:w="1152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年度指标值</w:t>
            </w:r>
          </w:p>
        </w:tc>
        <w:tc>
          <w:tcPr>
            <w:tcW w:w="516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实际完成值</w:t>
            </w:r>
          </w:p>
        </w:tc>
        <w:tc>
          <w:tcPr>
            <w:tcW w:w="355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分值</w:t>
            </w:r>
          </w:p>
        </w:tc>
        <w:tc>
          <w:tcPr>
            <w:tcW w:w="334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</w:t>
            </w:r>
          </w:p>
        </w:tc>
        <w:tc>
          <w:tcPr>
            <w:tcW w:w="514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偏差原因分析及改进措施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4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2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6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4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绩效指标</w:t>
            </w:r>
          </w:p>
        </w:tc>
        <w:tc>
          <w:tcPr>
            <w:tcW w:w="456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产出指标</w:t>
            </w:r>
          </w:p>
        </w:tc>
        <w:tc>
          <w:tcPr>
            <w:tcW w:w="473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数量指标</w:t>
            </w:r>
          </w:p>
        </w:tc>
        <w:tc>
          <w:tcPr>
            <w:tcW w:w="794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落实110名教师工资待遇</w:t>
            </w:r>
          </w:p>
        </w:tc>
        <w:tc>
          <w:tcPr>
            <w:tcW w:w="1152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落实110名教师工资待遇</w:t>
            </w:r>
          </w:p>
        </w:tc>
        <w:tc>
          <w:tcPr>
            <w:tcW w:w="51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73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4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参加国培、省培市培人数</w:t>
            </w:r>
          </w:p>
        </w:tc>
        <w:tc>
          <w:tcPr>
            <w:tcW w:w="1152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≥50人/次</w:t>
            </w:r>
          </w:p>
        </w:tc>
        <w:tc>
          <w:tcPr>
            <w:tcW w:w="51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50人/次</w:t>
            </w: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73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4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常态化组织教师集中学习优选网络视频课程</w:t>
            </w:r>
          </w:p>
        </w:tc>
        <w:tc>
          <w:tcPr>
            <w:tcW w:w="1152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2次/每月</w:t>
            </w:r>
          </w:p>
        </w:tc>
        <w:tc>
          <w:tcPr>
            <w:tcW w:w="51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2次/每月</w:t>
            </w: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质量指标</w:t>
            </w:r>
          </w:p>
        </w:tc>
        <w:tc>
          <w:tcPr>
            <w:tcW w:w="148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保障教职员工工资福利按时发放</w:t>
            </w:r>
          </w:p>
        </w:tc>
        <w:tc>
          <w:tcPr>
            <w:tcW w:w="216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保障教职员工工资福利按时发放</w:t>
            </w:r>
          </w:p>
        </w:tc>
        <w:tc>
          <w:tcPr>
            <w:tcW w:w="9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66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6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48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保障学校正常教育教学工作开展</w:t>
            </w:r>
          </w:p>
        </w:tc>
        <w:tc>
          <w:tcPr>
            <w:tcW w:w="216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保障学校正常教育教学工作开展</w:t>
            </w:r>
          </w:p>
        </w:tc>
        <w:tc>
          <w:tcPr>
            <w:tcW w:w="9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66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6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6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时效指标</w:t>
            </w:r>
          </w:p>
        </w:tc>
        <w:tc>
          <w:tcPr>
            <w:tcW w:w="148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年内完成各项工作任务</w:t>
            </w:r>
          </w:p>
        </w:tc>
        <w:tc>
          <w:tcPr>
            <w:tcW w:w="216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2023年12月31日前落实到位</w:t>
            </w:r>
          </w:p>
        </w:tc>
        <w:tc>
          <w:tcPr>
            <w:tcW w:w="9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2023年12月31日前落实到位</w:t>
            </w:r>
          </w:p>
        </w:tc>
        <w:tc>
          <w:tcPr>
            <w:tcW w:w="66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效益指标</w:t>
            </w: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经济效益指标</w:t>
            </w:r>
          </w:p>
        </w:tc>
        <w:tc>
          <w:tcPr>
            <w:tcW w:w="794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2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社会效益指标</w:t>
            </w:r>
          </w:p>
        </w:tc>
        <w:tc>
          <w:tcPr>
            <w:tcW w:w="148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确保幼儿园保育教育活动秩序良好</w:t>
            </w:r>
          </w:p>
        </w:tc>
        <w:tc>
          <w:tcPr>
            <w:tcW w:w="216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有效确保</w:t>
            </w:r>
          </w:p>
        </w:tc>
        <w:tc>
          <w:tcPr>
            <w:tcW w:w="9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有效确保</w:t>
            </w:r>
          </w:p>
        </w:tc>
        <w:tc>
          <w:tcPr>
            <w:tcW w:w="66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6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生态效益指标</w:t>
            </w:r>
          </w:p>
        </w:tc>
        <w:tc>
          <w:tcPr>
            <w:tcW w:w="148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6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66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可持续影响指标</w:t>
            </w:r>
          </w:p>
        </w:tc>
        <w:tc>
          <w:tcPr>
            <w:tcW w:w="148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提升幼儿园保教水平</w:t>
            </w:r>
          </w:p>
        </w:tc>
        <w:tc>
          <w:tcPr>
            <w:tcW w:w="216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持续提升</w:t>
            </w:r>
          </w:p>
        </w:tc>
        <w:tc>
          <w:tcPr>
            <w:tcW w:w="9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持续提升</w:t>
            </w:r>
          </w:p>
        </w:tc>
        <w:tc>
          <w:tcPr>
            <w:tcW w:w="66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6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服务对象满意度指标</w:t>
            </w:r>
          </w:p>
        </w:tc>
        <w:tc>
          <w:tcPr>
            <w:tcW w:w="148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在园幼儿（家长）满意度，教职工满意度</w:t>
            </w:r>
          </w:p>
        </w:tc>
        <w:tc>
          <w:tcPr>
            <w:tcW w:w="216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≥98%</w:t>
            </w:r>
          </w:p>
        </w:tc>
        <w:tc>
          <w:tcPr>
            <w:tcW w:w="9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＞98%</w:t>
            </w:r>
          </w:p>
        </w:tc>
        <w:tc>
          <w:tcPr>
            <w:tcW w:w="66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成本指标</w:t>
            </w: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经济成本指标</w:t>
            </w:r>
          </w:p>
        </w:tc>
        <w:tc>
          <w:tcPr>
            <w:tcW w:w="148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预算控制数</w:t>
            </w:r>
          </w:p>
        </w:tc>
        <w:tc>
          <w:tcPr>
            <w:tcW w:w="216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≤2121.43万元</w:t>
            </w:r>
          </w:p>
        </w:tc>
        <w:tc>
          <w:tcPr>
            <w:tcW w:w="9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2121.43万元</w:t>
            </w:r>
          </w:p>
        </w:tc>
        <w:tc>
          <w:tcPr>
            <w:tcW w:w="66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社会成本指标</w:t>
            </w:r>
          </w:p>
        </w:tc>
        <w:tc>
          <w:tcPr>
            <w:tcW w:w="794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2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生态环境成本指标</w:t>
            </w:r>
          </w:p>
        </w:tc>
        <w:tc>
          <w:tcPr>
            <w:tcW w:w="794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2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1331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绩效自评综合得分</w:t>
            </w:r>
          </w:p>
        </w:tc>
        <w:tc>
          <w:tcPr>
            <w:tcW w:w="3668" w:type="pct"/>
            <w:gridSpan w:val="8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100分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1331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评价等次</w:t>
            </w:r>
          </w:p>
        </w:tc>
        <w:tc>
          <w:tcPr>
            <w:tcW w:w="3668" w:type="pct"/>
            <w:gridSpan w:val="8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优</w:t>
            </w:r>
          </w:p>
        </w:tc>
      </w:tr>
    </w:tbl>
    <w:p>
      <w:pPr>
        <w:pStyle w:val="10"/>
      </w:pPr>
    </w:p>
    <w:p>
      <w:pPr>
        <w:pStyle w:val="10"/>
      </w:pPr>
    </w:p>
    <w:p>
      <w:pPr>
        <w:pStyle w:val="10"/>
      </w:pPr>
    </w:p>
    <w:p>
      <w:pPr>
        <w:pStyle w:val="10"/>
        <w:ind w:left="0" w:leftChars="0" w:firstLine="0" w:firstLineChars="0"/>
      </w:pPr>
    </w:p>
    <w:p>
      <w:pPr>
        <w:pStyle w:val="10"/>
        <w:ind w:left="0" w:leftChars="0" w:firstLine="0" w:firstLineChars="0"/>
      </w:pPr>
    </w:p>
    <w:tbl>
      <w:tblPr>
        <w:tblStyle w:val="7"/>
        <w:tblW w:w="980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5" w:type="dxa"/>
          <w:bottom w:w="0" w:type="dxa"/>
          <w:right w:w="15" w:type="dxa"/>
        </w:tblCellMar>
      </w:tblPr>
      <w:tblGrid>
        <w:gridCol w:w="1654"/>
        <w:gridCol w:w="3561"/>
        <w:gridCol w:w="1479"/>
        <w:gridCol w:w="310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9800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  <w:t>四、评价人员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67" w:hRule="atLeast"/>
          <w:jc w:val="center"/>
        </w:trPr>
        <w:tc>
          <w:tcPr>
            <w:tcW w:w="1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姓  名</w:t>
            </w:r>
          </w:p>
        </w:tc>
        <w:tc>
          <w:tcPr>
            <w:tcW w:w="35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职务/职称</w:t>
            </w:r>
          </w:p>
        </w:tc>
        <w:tc>
          <w:tcPr>
            <w:tcW w:w="14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单  位</w:t>
            </w:r>
          </w:p>
        </w:tc>
        <w:tc>
          <w:tcPr>
            <w:tcW w:w="31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签  字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5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lang w:val="en-US" w:eastAsia="zh-CN"/>
              </w:rPr>
            </w:pPr>
          </w:p>
        </w:tc>
        <w:tc>
          <w:tcPr>
            <w:tcW w:w="14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1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5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4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1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5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4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1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5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4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1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460" w:hRule="atLeast"/>
          <w:jc w:val="center"/>
        </w:trPr>
        <w:tc>
          <w:tcPr>
            <w:tcW w:w="9800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评价组组长（签字）：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                      年    月 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190" w:hRule="atLeast"/>
          <w:jc w:val="center"/>
        </w:trPr>
        <w:tc>
          <w:tcPr>
            <w:tcW w:w="9800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部门（单位）意见：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部门（单位）负责人（签章）：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                      年    月 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560" w:hRule="atLeast"/>
          <w:jc w:val="center"/>
        </w:trPr>
        <w:tc>
          <w:tcPr>
            <w:tcW w:w="9800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60" w:lineRule="exact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财政部门归口业务股室意见：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60" w:lineRule="exact"/>
              <w:rPr>
                <w:rFonts w:hint="eastAsia" w:eastAsia="仿宋_GB2312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60" w:lineRule="exact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                                  财政部门归口业务股室负责人（签章）：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                                                                 年    月   日</w:t>
            </w:r>
          </w:p>
        </w:tc>
      </w:tr>
    </w:tbl>
    <w:p>
      <w:pPr>
        <w:pStyle w:val="10"/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eastAsia="仿宋_GB2312" w:cs="仿宋_GB2312"/>
          <w:bCs/>
          <w:sz w:val="28"/>
          <w:szCs w:val="28"/>
        </w:rPr>
        <w:t>填报人（签名）：                          联系电话：</w:t>
      </w:r>
    </w:p>
    <w:p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附件1</w:t>
      </w:r>
    </w:p>
    <w:p>
      <w:pPr>
        <w:bidi w:val="0"/>
        <w:jc w:val="center"/>
        <w:rPr>
          <w:rFonts w:hint="eastAsia" w:ascii="方正小标宋_GBK" w:hAnsi="方正小标宋_GBK" w:eastAsia="方正小标宋_GBK" w:cs="方正小标宋_GBK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  <w:t>岳阳市云溪区公办幼儿园</w:t>
      </w:r>
    </w:p>
    <w:p>
      <w:pPr>
        <w:bidi w:val="0"/>
        <w:jc w:val="center"/>
        <w:rPr>
          <w:rFonts w:hint="eastAsia" w:ascii="方正小标宋_GBK" w:hAnsi="方正小标宋_GBK" w:eastAsia="方正小标宋_GBK" w:cs="方正小标宋_GBK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  <w:t>部门整体支出绩效自评报告</w:t>
      </w:r>
    </w:p>
    <w:p>
      <w:pPr>
        <w:bidi w:val="0"/>
      </w:pPr>
    </w:p>
    <w:p>
      <w:pPr>
        <w:pStyle w:val="2"/>
        <w:bidi w:val="0"/>
        <w:ind w:left="0" w:leftChars="0" w:firstLine="0" w:firstLineChars="0"/>
        <w:rPr>
          <w:rFonts w:hint="eastAsia"/>
        </w:rPr>
      </w:pPr>
      <w:r>
        <w:rPr>
          <w:rFonts w:hint="eastAsia"/>
        </w:rPr>
        <w:t>一、部门（单位）概况</w:t>
      </w:r>
    </w:p>
    <w:p>
      <w:pPr>
        <w:pStyle w:val="3"/>
        <w:bidi w:val="0"/>
        <w:ind w:left="0" w:leftChars="0" w:firstLine="321" w:firstLineChars="100"/>
        <w:rPr>
          <w:rFonts w:hint="default"/>
        </w:rPr>
      </w:pPr>
      <w:r>
        <w:rPr>
          <w:rFonts w:hint="default"/>
        </w:rPr>
        <w:t>（一）机构设置情况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楷体_GB2312" w:eastAsia="楷体_GB2312" w:cs="楷体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岳阳市云溪区公办幼儿园内设机构包括：路口镇中心幼儿园、文桥镇中心幼儿园、陆城镇中心幼儿园、长炼中心幼儿园、永济中心幼儿园。</w:t>
      </w:r>
    </w:p>
    <w:p>
      <w:pPr>
        <w:pStyle w:val="3"/>
        <w:bidi w:val="0"/>
        <w:ind w:left="0" w:leftChars="0" w:firstLine="321" w:firstLineChars="100"/>
        <w:rPr>
          <w:rFonts w:hint="default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二</w:t>
      </w:r>
      <w:r>
        <w:rPr>
          <w:rFonts w:hint="eastAsia"/>
          <w:lang w:eastAsia="zh-CN"/>
        </w:rPr>
        <w:t>）</w:t>
      </w:r>
      <w:r>
        <w:rPr>
          <w:rFonts w:hint="default"/>
        </w:rPr>
        <w:t>人员编制情况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2023年末实有人数114人，其中：在职编制16人，临聘教职工94人，离退休0人。</w:t>
      </w:r>
    </w:p>
    <w:p>
      <w:pPr>
        <w:pStyle w:val="3"/>
        <w:bidi w:val="0"/>
        <w:ind w:left="0" w:leftChars="0" w:firstLine="321" w:firstLineChars="100"/>
        <w:rPr>
          <w:rFonts w:hint="default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三</w:t>
      </w:r>
      <w:r>
        <w:rPr>
          <w:rFonts w:hint="eastAsia"/>
          <w:lang w:eastAsia="zh-CN"/>
        </w:rPr>
        <w:t>）</w:t>
      </w:r>
      <w:r>
        <w:rPr>
          <w:rFonts w:hint="default"/>
        </w:rPr>
        <w:t>主要职能职责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1、贯彻执行国家教育方针政策，保育和教育相结合，促进幼儿身心和谐发展。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2、负责路口镇中心幼儿园、文桥镇中心幼儿园、陆城镇中心幼儿园、长炼中心幼儿园、永济中心幼儿园教育教学管理工作。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3、保障本辖区内适龄儿童受教育的权利，对贫困学生做好资助工作。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4、做好留守儿童的关爱工作。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5、做好在职教师的教育培训工作。</w:t>
      </w:r>
    </w:p>
    <w:p>
      <w:pPr>
        <w:pStyle w:val="3"/>
        <w:bidi w:val="0"/>
        <w:ind w:left="0" w:leftChars="0" w:firstLine="321" w:firstLineChars="1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（四）</w:t>
      </w:r>
      <w:r>
        <w:rPr>
          <w:rFonts w:hint="default"/>
          <w:lang w:val="en-US" w:eastAsia="zh-CN"/>
        </w:rPr>
        <w:t>绩效目标设定情况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目标1：按时足额发放教师工资与绩效工资，保民生。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目标2：及时拨付公用经费，保运转。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目标3：按时拨付、落实项目资金，保安全。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目标4：落实建设经费，积极改善办学条件，促均衡。</w:t>
      </w:r>
    </w:p>
    <w:p>
      <w:pPr>
        <w:pStyle w:val="2"/>
        <w:bidi w:val="0"/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二、一般公共预算支出情况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根据《会计法》《预算法》《行政单位财务规则》等法律和财政部及省财政厅有关财务规章的规定，明确了经费审批权限及程序，经费预算管理、财务经费管理、资产购置与处置、财务监督等。针对“三公”经费探索建立公用经费标准定额体系，开展公用经费使用监督和绩效评估，进一步落实厉行节约的各项规定，确保“三公经费”使用合理合规等。上述制度规定基本执行到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2023年决算支出2121.43万元，其中：基本支出873.61万元，项目支出1247.82万元。</w:t>
      </w:r>
    </w:p>
    <w:p>
      <w:pPr>
        <w:pStyle w:val="4"/>
        <w:numPr>
          <w:ilvl w:val="0"/>
          <w:numId w:val="1"/>
        </w:numPr>
        <w:bidi w:val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基本支出情况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基本支出用于为保障各部门、机构正常运转、完成日常工作任务而发生的支出，包括人员经费和公用经费。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2023年全年基本支出873.61万元，其中：工资福利支出521.40万元、商品和服务支出190.83万元、对个人和家庭的补助161.37万元、债务利息及费用支出0万元、资本性支出0万元、其他支出0万元。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lang w:val="en-US" w:eastAsia="zh-CN" w:bidi="ar-SA"/>
        </w:rPr>
        <w:t>项目支出情况</w:t>
      </w:r>
    </w:p>
    <w:p>
      <w:pPr>
        <w:keepNext w:val="0"/>
        <w:keepLines w:val="0"/>
        <w:widowControl w:val="0"/>
        <w:suppressLineNumbers w:val="0"/>
        <w:spacing w:before="0" w:beforeLines="0" w:beforeAutospacing="0" w:after="0" w:afterLines="0" w:afterAutospacing="0" w:line="600" w:lineRule="exact"/>
        <w:ind w:left="0" w:right="0" w:firstLine="640" w:firstLineChars="200"/>
        <w:jc w:val="both"/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Calibri" w:eastAsia="仿宋_GB2312" w:cs="仿宋_GB2312"/>
          <w:kern w:val="2"/>
          <w:sz w:val="32"/>
          <w:szCs w:val="32"/>
          <w:lang w:val="en-US" w:eastAsia="zh-CN" w:bidi="ar"/>
        </w:rPr>
        <w:t>项目支出是在基本支出之外为完成其特定的工作任务而发生的支出，主要用于专项工作的运转和设备升级等。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2023年项目经费支出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1247.82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万元，其中:中小学校舍安全工程支出319.40万元,学校综合管理支出928.42万元。</w:t>
      </w:r>
    </w:p>
    <w:p>
      <w:pPr>
        <w:pStyle w:val="3"/>
        <w:bidi w:val="0"/>
        <w:rPr>
          <w:rFonts w:hint="eastAsia"/>
        </w:rPr>
      </w:pPr>
      <w:r>
        <w:t>（三）</w:t>
      </w:r>
      <w:r>
        <w:rPr>
          <w:rFonts w:hint="eastAsia"/>
        </w:rPr>
        <w:t>“三公”经费的使用和管理情况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我单位2023年严格贯彻中央八项规定精神，厉行节约。“三公”经费的使用严格按照文件范围执行，财务人员严把票据审核的关卡，确保资金的合理使用。2023年初财政批复局机关“三公”经费预算数为0万元，其中：公务接待费0万元、因公出国（境）费用0万元、公务用车购置及运行费0万元。全年决算单位支出“三公”经费为0万元，其中：公务接待费0万元、因公出国（境）费用0万元、公务用车购置及运行费0万元。</w:t>
      </w:r>
    </w:p>
    <w:p>
      <w:pPr>
        <w:pStyle w:val="2"/>
        <w:bidi w:val="0"/>
        <w:ind w:left="0" w:leftChars="0" w:firstLine="0" w:firstLineChars="0"/>
        <w:rPr>
          <w:rFonts w:hint="eastAsia"/>
        </w:rPr>
      </w:pPr>
      <w:r>
        <w:rPr>
          <w:rFonts w:hint="eastAsia"/>
        </w:rPr>
        <w:t>三、政府性基金预算支出情况</w:t>
      </w:r>
    </w:p>
    <w:p>
      <w:pPr>
        <w:pStyle w:val="14"/>
        <w:spacing w:line="600" w:lineRule="exact"/>
        <w:ind w:firstLine="643"/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无。</w:t>
      </w:r>
    </w:p>
    <w:p>
      <w:pPr>
        <w:pStyle w:val="2"/>
        <w:bidi w:val="0"/>
        <w:ind w:left="0" w:leftChars="0" w:firstLine="0" w:firstLineChars="0"/>
        <w:rPr>
          <w:rFonts w:hint="eastAsia"/>
        </w:rPr>
      </w:pPr>
      <w:r>
        <w:rPr>
          <w:rFonts w:hint="eastAsia"/>
        </w:rPr>
        <w:t>四、国有资本经营预算支出情况</w:t>
      </w:r>
    </w:p>
    <w:p>
      <w:pPr>
        <w:pStyle w:val="14"/>
        <w:spacing w:line="600" w:lineRule="exact"/>
        <w:ind w:firstLine="643"/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无。</w:t>
      </w:r>
    </w:p>
    <w:p>
      <w:pPr>
        <w:pStyle w:val="2"/>
        <w:bidi w:val="0"/>
        <w:ind w:left="0" w:leftChars="0" w:firstLine="0" w:firstLineChars="0"/>
        <w:rPr>
          <w:rFonts w:hint="eastAsia"/>
        </w:rPr>
      </w:pPr>
      <w:r>
        <w:rPr>
          <w:rFonts w:hint="eastAsia"/>
        </w:rPr>
        <w:t>五、社会保险基金预算支出情况</w:t>
      </w:r>
    </w:p>
    <w:p>
      <w:pPr>
        <w:pStyle w:val="14"/>
        <w:spacing w:line="600" w:lineRule="exact"/>
        <w:ind w:firstLine="643"/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无。</w:t>
      </w:r>
    </w:p>
    <w:p>
      <w:pPr>
        <w:pStyle w:val="2"/>
        <w:bidi w:val="0"/>
        <w:ind w:left="0" w:leftChars="0" w:firstLine="0" w:firstLineChars="0"/>
        <w:rPr>
          <w:rFonts w:hint="eastAsia"/>
        </w:rPr>
      </w:pPr>
      <w:r>
        <w:rPr>
          <w:rFonts w:hint="eastAsia"/>
        </w:rPr>
        <w:t>六、部门整体支出绩效情况</w:t>
      </w:r>
    </w:p>
    <w:p>
      <w:pPr>
        <w:pStyle w:val="3"/>
        <w:bidi w:val="0"/>
        <w:ind w:left="0" w:leftChars="0" w:firstLine="0" w:firstLineChars="0"/>
        <w:rPr>
          <w:rFonts w:hint="default"/>
        </w:rPr>
      </w:pPr>
      <w:r>
        <w:rPr>
          <w:rFonts w:hint="default"/>
        </w:rPr>
        <w:t>（一）综合评价结论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经自评，2023年度我单位部门整体支出绩效评价结论为“优”，自查评分为100分。</w:t>
      </w:r>
    </w:p>
    <w:p>
      <w:pPr>
        <w:pStyle w:val="3"/>
        <w:bidi w:val="0"/>
        <w:ind w:left="0" w:leftChars="0" w:firstLine="0" w:firstLineChars="0"/>
        <w:rPr>
          <w:rFonts w:hint="default" w:eastAsia="宋体"/>
          <w:lang w:val="en-US" w:eastAsia="zh-CN"/>
        </w:rPr>
      </w:pPr>
      <w:r>
        <w:rPr>
          <w:rFonts w:hint="default"/>
        </w:rPr>
        <w:t>（二）评价指标分析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宋体" w:hAnsi="宋体" w:eastAsia="宋体" w:cs="宋体"/>
          <w:b/>
          <w:bCs/>
          <w:color w:val="000000"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color w:val="000000"/>
          <w:sz w:val="30"/>
          <w:szCs w:val="30"/>
          <w:lang w:eastAsia="zh-CN"/>
        </w:rPr>
        <w:t>一、</w:t>
      </w:r>
      <w:r>
        <w:rPr>
          <w:rFonts w:hint="eastAsia" w:ascii="宋体" w:hAnsi="宋体" w:eastAsia="宋体" w:cs="宋体"/>
          <w:b/>
          <w:bCs/>
          <w:color w:val="000000"/>
          <w:sz w:val="30"/>
          <w:szCs w:val="30"/>
        </w:rPr>
        <w:t>坚持示范引领，涵养良好师德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color w:val="000000"/>
          <w:sz w:val="30"/>
          <w:szCs w:val="30"/>
        </w:rPr>
      </w:pPr>
      <w:r>
        <w:rPr>
          <w:rFonts w:hint="eastAsia" w:ascii="仿宋" w:hAnsi="仿宋" w:eastAsia="仿宋" w:cs="仿宋"/>
          <w:color w:val="000000"/>
          <w:sz w:val="30"/>
          <w:szCs w:val="30"/>
        </w:rPr>
        <w:t xml:space="preserve">    </w:t>
      </w:r>
      <w:r>
        <w:rPr>
          <w:rFonts w:hint="eastAsia" w:ascii="仿宋" w:hAnsi="仿宋" w:eastAsia="仿宋" w:cs="仿宋"/>
          <w:b/>
          <w:bCs/>
          <w:color w:val="000000"/>
          <w:sz w:val="30"/>
          <w:szCs w:val="30"/>
        </w:rPr>
        <w:t>1、</w:t>
      </w:r>
      <w:r>
        <w:rPr>
          <w:rFonts w:hint="eastAsia" w:ascii="仿宋" w:hAnsi="仿宋" w:eastAsia="仿宋" w:cs="仿宋"/>
          <w:b/>
          <w:bCs/>
          <w:color w:val="000000"/>
          <w:kern w:val="0"/>
          <w:sz w:val="30"/>
          <w:szCs w:val="30"/>
          <w:lang w:val="en-US" w:eastAsia="zh-CN"/>
        </w:rPr>
        <w:t>突出党建</w:t>
      </w:r>
      <w:r>
        <w:rPr>
          <w:rFonts w:hint="eastAsia" w:ascii="仿宋" w:hAnsi="仿宋" w:eastAsia="仿宋" w:cs="仿宋"/>
          <w:b/>
          <w:bCs/>
          <w:color w:val="000000"/>
          <w:kern w:val="0"/>
          <w:sz w:val="30"/>
          <w:szCs w:val="30"/>
          <w:lang w:eastAsia="zh-CN"/>
        </w:rPr>
        <w:t>抓思想引领。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0" w:firstLineChars="200"/>
        <w:textAlignment w:val="auto"/>
        <w:rPr>
          <w:rFonts w:hint="eastAsia" w:ascii="仿宋" w:hAnsi="仿宋" w:eastAsia="仿宋" w:cs="仿宋"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0"/>
          <w:szCs w:val="30"/>
        </w:rPr>
        <w:t>我园党支部持续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强化基层党建、意识形态、廉政建设和师德师风教育工作。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一是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持续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开展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三会一课、主题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党日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、组织生活会、谈心谈话、民主评议党员等常规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活动，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抓实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每月一次党员集中学习和实践活动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。二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是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聚焦“清廉学校建设”和“云溪区师德师风建设年”工作要求，抓实思想动员、专题学习、警示教育、查摆问题、整改提高、完善机制、选树典型、表彰宣传等工作环节，认真落实“两带头五整治”纠风防腐专项行动，全面开展作风建设专项整治和师德师风教育工作。全园共选树、表彰区级典型</w:t>
      </w:r>
      <w:r>
        <w:rPr>
          <w:rFonts w:hint="eastAsia" w:ascii="仿宋" w:hAnsi="仿宋" w:eastAsia="仿宋" w:cs="仿宋"/>
          <w:color w:val="000000"/>
          <w:sz w:val="30"/>
          <w:szCs w:val="30"/>
          <w:lang w:val="en-US" w:eastAsia="zh-CN"/>
        </w:rPr>
        <w:t>10名，园级先进典型39名，通过悬挂横幅、开辟表彰专栏、身边人讲身边事等多种形式开展师德师风教育活动。三是认真开展“学习贯彻习近平新时代中国特色社会主义思想主题教育”活动，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抓实“以学铸魂、以学增智、以学正风、以学促干”四个阶段的学习教育活动，着力推动主题教育走深走实、见行见效。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2" w:firstLineChars="200"/>
        <w:textAlignment w:val="auto"/>
        <w:rPr>
          <w:rFonts w:hint="eastAsia" w:ascii="仿宋" w:hAnsi="仿宋" w:eastAsia="仿宋" w:cs="仿宋"/>
          <w:b/>
          <w:bCs/>
          <w:color w:val="000000"/>
          <w:kern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30"/>
          <w:szCs w:val="30"/>
          <w:lang w:val="en-US" w:eastAsia="zh-CN"/>
        </w:rPr>
        <w:t>专注教学抓业务引领。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0" w:firstLineChars="200"/>
        <w:textAlignment w:val="auto"/>
        <w:rPr>
          <w:rFonts w:hint="eastAsia" w:ascii="仿宋" w:hAnsi="仿宋" w:eastAsia="仿宋" w:cs="仿宋"/>
          <w:color w:val="000000"/>
          <w:sz w:val="30"/>
          <w:szCs w:val="30"/>
        </w:rPr>
      </w:pPr>
      <w:r>
        <w:rPr>
          <w:rFonts w:hint="eastAsia" w:ascii="仿宋" w:hAnsi="仿宋" w:eastAsia="仿宋" w:cs="仿宋"/>
          <w:color w:val="000000"/>
          <w:kern w:val="0"/>
          <w:sz w:val="30"/>
          <w:szCs w:val="30"/>
          <w:lang w:eastAsia="zh-CN"/>
        </w:rPr>
        <w:t>我园党支部委员、</w:t>
      </w:r>
      <w:r>
        <w:rPr>
          <w:rFonts w:hint="eastAsia" w:ascii="仿宋" w:hAnsi="仿宋" w:eastAsia="仿宋" w:cs="仿宋"/>
          <w:color w:val="000000"/>
          <w:kern w:val="0"/>
          <w:sz w:val="30"/>
          <w:szCs w:val="30"/>
          <w:lang w:val="en-US" w:eastAsia="zh-CN"/>
        </w:rPr>
        <w:t>园长、中层行政</w:t>
      </w:r>
      <w:r>
        <w:rPr>
          <w:rFonts w:hint="eastAsia" w:ascii="仿宋" w:hAnsi="仿宋" w:eastAsia="仿宋" w:cs="仿宋"/>
          <w:color w:val="000000"/>
          <w:kern w:val="0"/>
          <w:sz w:val="30"/>
          <w:szCs w:val="30"/>
          <w:lang w:eastAsia="zh-CN"/>
        </w:rPr>
        <w:t>全部进班兼课和指导教学，深入教学一线，</w:t>
      </w:r>
      <w:r>
        <w:rPr>
          <w:rFonts w:hint="eastAsia" w:ascii="仿宋" w:hAnsi="仿宋" w:eastAsia="仿宋" w:cs="仿宋"/>
          <w:color w:val="000000"/>
          <w:kern w:val="0"/>
          <w:sz w:val="30"/>
          <w:szCs w:val="30"/>
          <w:lang w:val="en-US" w:eastAsia="zh-CN"/>
        </w:rPr>
        <w:t>做好教师专业发展的引领者。另外，我园要求园长、行政往“双师型”专业方向发展，既要培养幼儿，更要培训教师。各园园长、行政利用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外出培训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资源、网络学习资源、阅读著作资源培训一线教师，既引领教师专业发展，又兜住教育质量底线。今年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4月，我园开展青蓝工程教学竞赛，共有</w:t>
      </w:r>
      <w:r>
        <w:rPr>
          <w:rFonts w:hint="eastAsia" w:ascii="仿宋" w:hAnsi="仿宋" w:eastAsia="仿宋" w:cs="仿宋"/>
          <w:color w:val="000000"/>
          <w:sz w:val="30"/>
          <w:szCs w:val="30"/>
          <w:lang w:val="en-US" w:eastAsia="zh-CN"/>
        </w:rPr>
        <w:t>6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对师徒上台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竞技；一年来，我园叶静莹老师获岳阳市“金鹗杯”教学竞赛二等奖，沈婧老师获岳阳市幼儿园园长专业能力大赛二等奖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602" w:firstLineChars="200"/>
        <w:textAlignment w:val="auto"/>
        <w:rPr>
          <w:rFonts w:hint="eastAsia" w:ascii="仿宋" w:hAnsi="仿宋" w:eastAsia="仿宋" w:cs="仿宋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color w:val="000000"/>
          <w:sz w:val="30"/>
          <w:szCs w:val="30"/>
          <w:lang w:eastAsia="zh-CN"/>
        </w:rPr>
        <w:t>创新活力抓管理引领。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0" w:firstLineChars="200"/>
        <w:textAlignment w:val="auto"/>
        <w:rPr>
          <w:rFonts w:hint="eastAsia" w:ascii="仿宋" w:hAnsi="仿宋" w:eastAsia="仿宋" w:cs="仿宋"/>
          <w:color w:val="000000"/>
          <w:sz w:val="30"/>
          <w:szCs w:val="30"/>
        </w:rPr>
      </w:pP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我园全面实施园务公开，做到管理制度、绩效考核、评优评先、职称评定、财务经审等各项工作公开、规范，达成园务管理步入良性循环。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一年来，支部和工会共组织教职员工开展教学竞赛2次、教师技能考核2次、团建活动</w:t>
      </w:r>
      <w:r>
        <w:rPr>
          <w:rFonts w:hint="eastAsia" w:ascii="仿宋" w:hAnsi="仿宋" w:eastAsia="仿宋" w:cs="仿宋"/>
          <w:color w:val="000000"/>
          <w:sz w:val="30"/>
          <w:szCs w:val="30"/>
          <w:lang w:val="en-US" w:eastAsia="zh-CN"/>
        </w:rPr>
        <w:t>4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次、“献爱心、送温暖”活动4次（慰问困难幼儿和教师</w:t>
      </w:r>
      <w:r>
        <w:rPr>
          <w:rFonts w:hint="eastAsia" w:ascii="仿宋" w:hAnsi="仿宋" w:eastAsia="仿宋" w:cs="仿宋"/>
          <w:color w:val="000000"/>
          <w:sz w:val="30"/>
          <w:szCs w:val="30"/>
          <w:lang w:val="en-US" w:eastAsia="zh-CN"/>
        </w:rPr>
        <w:t>20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人次）。日常工作中,我们坚持每周例会进行“教育故事分享”活动,每学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年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末开展“说出你的教育故事”师德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故事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分享会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和</w:t>
      </w:r>
      <w:r>
        <w:rPr>
          <w:rFonts w:hint="eastAsia" w:ascii="仿宋" w:hAnsi="仿宋" w:eastAsia="仿宋" w:cs="仿宋"/>
          <w:color w:val="000000"/>
          <w:sz w:val="30"/>
          <w:szCs w:val="30"/>
          <w:lang w:val="en-US" w:eastAsia="zh-CN"/>
        </w:rPr>
        <w:t>管理人员的“奋斗的青春、追梦的人生”个人成长故事分享会，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教师节开展师德师风表彰会。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通过规范管理和系列团建活动，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全园形成了求真务实、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敬业奉献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、开拓进取的良好风气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和工作局面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2" w:firstLineChars="200"/>
        <w:textAlignment w:val="auto"/>
        <w:rPr>
          <w:rFonts w:hint="eastAsia" w:ascii="仿宋" w:hAnsi="仿宋" w:eastAsia="仿宋" w:cs="仿宋"/>
          <w:b/>
          <w:color w:val="00000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color w:val="000000"/>
          <w:sz w:val="30"/>
          <w:szCs w:val="30"/>
          <w:lang w:eastAsia="zh-CN"/>
        </w:rPr>
        <w:t>二、夯实专业能力</w:t>
      </w:r>
      <w:r>
        <w:rPr>
          <w:rFonts w:hint="eastAsia" w:ascii="宋体" w:hAnsi="宋体" w:eastAsia="宋体" w:cs="宋体"/>
          <w:b/>
          <w:color w:val="000000"/>
          <w:sz w:val="30"/>
          <w:szCs w:val="30"/>
        </w:rPr>
        <w:t>，助力教师成长</w:t>
      </w:r>
      <w:r>
        <w:rPr>
          <w:rFonts w:hint="eastAsia" w:ascii="宋体" w:hAnsi="宋体" w:eastAsia="宋体" w:cs="宋体"/>
          <w:b/>
          <w:color w:val="000000"/>
          <w:sz w:val="30"/>
          <w:szCs w:val="30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2" w:firstLineChars="200"/>
        <w:textAlignment w:val="auto"/>
        <w:rPr>
          <w:rFonts w:hint="eastAsia" w:ascii="仿宋" w:hAnsi="仿宋" w:eastAsia="仿宋" w:cs="仿宋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color w:val="000000"/>
          <w:sz w:val="30"/>
          <w:szCs w:val="30"/>
        </w:rPr>
        <w:t>1、立足</w:t>
      </w:r>
      <w:r>
        <w:rPr>
          <w:rFonts w:hint="eastAsia" w:ascii="仿宋" w:hAnsi="仿宋" w:eastAsia="仿宋" w:cs="仿宋"/>
          <w:b/>
          <w:bCs/>
          <w:color w:val="000000"/>
          <w:sz w:val="30"/>
          <w:szCs w:val="30"/>
          <w:lang w:eastAsia="zh-CN"/>
        </w:rPr>
        <w:t>根本</w:t>
      </w:r>
      <w:r>
        <w:rPr>
          <w:rFonts w:hint="eastAsia" w:ascii="仿宋" w:hAnsi="仿宋" w:eastAsia="仿宋" w:cs="仿宋"/>
          <w:b/>
          <w:bCs/>
          <w:color w:val="000000"/>
          <w:sz w:val="30"/>
          <w:szCs w:val="30"/>
        </w:rPr>
        <w:t xml:space="preserve">抓培训 </w:t>
      </w:r>
    </w:p>
    <w:p>
      <w:pPr>
        <w:keepNext w:val="0"/>
        <w:keepLines w:val="0"/>
        <w:pageBreakBefore w:val="0"/>
        <w:widowControl w:val="0"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0" w:firstLineChars="200"/>
        <w:jc w:val="left"/>
        <w:textAlignment w:val="auto"/>
        <w:rPr>
          <w:rFonts w:hint="eastAsia" w:ascii="仿宋" w:hAnsi="仿宋" w:eastAsia="仿宋" w:cs="仿宋"/>
          <w:color w:val="000000"/>
          <w:sz w:val="30"/>
          <w:szCs w:val="30"/>
        </w:rPr>
      </w:pP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一是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认真做好国培、省培、市培和区培工作：参加国培、省培市培人数达</w:t>
      </w:r>
      <w:r>
        <w:rPr>
          <w:rFonts w:hint="eastAsia" w:ascii="仿宋" w:hAnsi="仿宋" w:eastAsia="仿宋" w:cs="仿宋"/>
          <w:color w:val="000000"/>
          <w:sz w:val="30"/>
          <w:szCs w:val="30"/>
          <w:lang w:val="en-US" w:eastAsia="zh-CN"/>
        </w:rPr>
        <w:t>50余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人次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；二是充分运用好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学科工作室和青蓝工程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工作平台，促进教师专业成长。用好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专项资金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，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外派教师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到岳阳</w:t>
      </w:r>
      <w:r>
        <w:rPr>
          <w:rFonts w:hint="eastAsia" w:ascii="仿宋" w:hAnsi="仿宋" w:eastAsia="仿宋" w:cs="仿宋"/>
          <w:color w:val="000000"/>
          <w:sz w:val="30"/>
          <w:szCs w:val="30"/>
          <w:lang w:val="en-US" w:eastAsia="zh-CN"/>
        </w:rPr>
        <w:t>岳阳市二幼、南湖新区南湖幼儿园、楼区童之梦幼儿园、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武汉、长沙等地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参加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实地观摩和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专业培训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达</w:t>
      </w:r>
      <w:r>
        <w:rPr>
          <w:rFonts w:hint="eastAsia" w:ascii="仿宋" w:hAnsi="仿宋" w:eastAsia="仿宋" w:cs="仿宋"/>
          <w:color w:val="000000"/>
          <w:sz w:val="30"/>
          <w:szCs w:val="30"/>
          <w:lang w:val="en-US" w:eastAsia="zh-CN"/>
        </w:rPr>
        <w:t>60余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人次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。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三是通过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优选网络</w:t>
      </w:r>
      <w:r>
        <w:rPr>
          <w:rFonts w:hint="eastAsia" w:ascii="仿宋" w:hAnsi="仿宋" w:eastAsia="仿宋" w:cs="仿宋"/>
          <w:color w:val="000000"/>
          <w:sz w:val="30"/>
          <w:szCs w:val="30"/>
          <w:lang w:val="en-US" w:eastAsia="zh-CN"/>
        </w:rPr>
        <w:t>视频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课程，</w:t>
      </w:r>
      <w:r>
        <w:rPr>
          <w:rFonts w:hint="eastAsia" w:ascii="仿宋" w:hAnsi="仿宋" w:eastAsia="仿宋" w:cs="仿宋"/>
          <w:color w:val="000000"/>
          <w:sz w:val="30"/>
          <w:szCs w:val="30"/>
          <w:lang w:val="en-US" w:eastAsia="zh-CN"/>
        </w:rPr>
        <w:t>每月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常态化组织</w:t>
      </w:r>
      <w:r>
        <w:rPr>
          <w:rFonts w:hint="eastAsia" w:ascii="仿宋" w:hAnsi="仿宋" w:eastAsia="仿宋" w:cs="仿宋"/>
          <w:color w:val="000000"/>
          <w:sz w:val="30"/>
          <w:szCs w:val="30"/>
          <w:lang w:val="en-US" w:eastAsia="zh-CN"/>
        </w:rPr>
        <w:t>两次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教师集中学习</w:t>
      </w:r>
      <w:r>
        <w:rPr>
          <w:rFonts w:hint="eastAsia" w:ascii="仿宋" w:hAnsi="仿宋" w:eastAsia="仿宋" w:cs="仿宋"/>
          <w:color w:val="000000"/>
          <w:sz w:val="30"/>
          <w:szCs w:val="30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2" w:firstLineChars="200"/>
        <w:textAlignment w:val="auto"/>
        <w:rPr>
          <w:rFonts w:hint="eastAsia" w:ascii="仿宋" w:hAnsi="仿宋" w:eastAsia="仿宋" w:cs="仿宋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color w:val="000000"/>
          <w:sz w:val="30"/>
          <w:szCs w:val="30"/>
        </w:rPr>
        <w:t xml:space="preserve">2、持之以恒抓教研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0" w:firstLineChars="200"/>
        <w:textAlignment w:val="auto"/>
        <w:rPr>
          <w:rFonts w:hint="default" w:ascii="仿宋" w:hAnsi="仿宋" w:eastAsia="仿宋" w:cs="仿宋"/>
          <w:color w:val="000000"/>
          <w:sz w:val="30"/>
          <w:szCs w:val="30"/>
          <w:lang w:val="en-US"/>
        </w:rPr>
      </w:pPr>
      <w:r>
        <w:rPr>
          <w:rFonts w:hint="eastAsia" w:ascii="仿宋" w:hAnsi="仿宋" w:eastAsia="仿宋" w:cs="仿宋"/>
          <w:color w:val="000000"/>
          <w:sz w:val="30"/>
          <w:szCs w:val="30"/>
        </w:rPr>
        <w:t>教师的发展是幼儿园发展的根本力量。一是在开学初期组织全体教师制定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各类计划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。二是持续推进园本教研工作，各园每周利用一个中午进行集体备课,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实现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优质教学资源共享。三是不断创新教研活动形式，组织开展了语言领域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、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探究数学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、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户外游戏活动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、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区域活动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、家庭教育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等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科目的专题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教研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活动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。</w:t>
      </w:r>
      <w:r>
        <w:rPr>
          <w:rFonts w:hint="eastAsia" w:ascii="仿宋" w:hAnsi="仿宋" w:eastAsia="仿宋" w:cs="仿宋"/>
          <w:color w:val="000000"/>
          <w:sz w:val="30"/>
          <w:szCs w:val="30"/>
          <w:lang w:val="en-US" w:eastAsia="zh-CN"/>
        </w:rPr>
        <w:t>一年来，教师教学竞赛获市级奖3项，区级奖5项，教研论文获奖9篇；教育教学业务竞赛获区级以上奖励4项，辅导幼儿参加各级各类竞赛获奖60项。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2" w:firstLineChars="200"/>
        <w:textAlignment w:val="auto"/>
        <w:rPr>
          <w:rFonts w:hint="eastAsia" w:ascii="仿宋" w:hAnsi="仿宋" w:eastAsia="仿宋" w:cs="仿宋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color w:val="000000"/>
          <w:sz w:val="30"/>
          <w:szCs w:val="30"/>
        </w:rPr>
        <w:t>3、</w:t>
      </w:r>
      <w:r>
        <w:rPr>
          <w:rFonts w:hint="eastAsia" w:ascii="仿宋" w:hAnsi="仿宋" w:eastAsia="仿宋" w:cs="仿宋"/>
          <w:b/>
          <w:bCs/>
          <w:color w:val="000000"/>
          <w:sz w:val="30"/>
          <w:szCs w:val="30"/>
          <w:lang w:eastAsia="zh-CN"/>
        </w:rPr>
        <w:t>筑牢</w:t>
      </w:r>
      <w:r>
        <w:rPr>
          <w:rFonts w:hint="eastAsia" w:ascii="仿宋" w:hAnsi="仿宋" w:eastAsia="仿宋" w:cs="仿宋"/>
          <w:b/>
          <w:bCs/>
          <w:color w:val="000000"/>
          <w:sz w:val="30"/>
          <w:szCs w:val="30"/>
        </w:rPr>
        <w:t xml:space="preserve">基础抓技能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0" w:firstLineChars="200"/>
        <w:textAlignment w:val="auto"/>
        <w:rPr>
          <w:rFonts w:hint="eastAsia" w:ascii="仿宋" w:hAnsi="仿宋" w:eastAsia="仿宋" w:cs="仿宋"/>
          <w:color w:val="000000"/>
          <w:sz w:val="30"/>
          <w:szCs w:val="30"/>
        </w:rPr>
      </w:pP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近年来，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我们根据教师素质现状和教学工作的需要，采用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教师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专业技能考核的形式促进教师业务水平的提升，将教师五项技能、保育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员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五项技能纳入教师期末奖励性绩效考核，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与绩效工资挂钩，既考核个人，又设置优秀年级组集体奖项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。方案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实行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以来，教师自我训练、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同伴互助，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教师五项技能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得到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明显提高。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2" w:firstLineChars="200"/>
        <w:textAlignment w:val="auto"/>
        <w:rPr>
          <w:rFonts w:hint="eastAsia" w:ascii="宋体" w:hAnsi="宋体" w:eastAsia="宋体" w:cs="宋体"/>
          <w:b/>
          <w:color w:val="000000"/>
          <w:sz w:val="30"/>
          <w:szCs w:val="30"/>
        </w:rPr>
      </w:pPr>
      <w:r>
        <w:rPr>
          <w:rFonts w:hint="eastAsia" w:ascii="宋体" w:hAnsi="宋体" w:eastAsia="宋体" w:cs="宋体"/>
          <w:b/>
          <w:color w:val="000000"/>
          <w:sz w:val="30"/>
          <w:szCs w:val="30"/>
          <w:lang w:eastAsia="zh-CN"/>
        </w:rPr>
        <w:t>三、</w:t>
      </w:r>
      <w:r>
        <w:rPr>
          <w:rFonts w:hint="eastAsia" w:ascii="宋体" w:hAnsi="宋体" w:cs="宋体"/>
          <w:b/>
          <w:color w:val="000000"/>
          <w:sz w:val="30"/>
          <w:szCs w:val="30"/>
          <w:lang w:eastAsia="zh-CN"/>
        </w:rPr>
        <w:t>创新</w:t>
      </w:r>
      <w:bookmarkStart w:id="0" w:name="_GoBack"/>
      <w:bookmarkEnd w:id="0"/>
      <w:r>
        <w:rPr>
          <w:rFonts w:hint="eastAsia" w:ascii="宋体" w:hAnsi="宋体" w:cs="宋体"/>
          <w:b/>
          <w:color w:val="000000"/>
          <w:sz w:val="30"/>
          <w:szCs w:val="30"/>
          <w:lang w:eastAsia="zh-CN"/>
        </w:rPr>
        <w:t>课程建设</w:t>
      </w:r>
      <w:r>
        <w:rPr>
          <w:rFonts w:hint="eastAsia" w:ascii="宋体" w:hAnsi="宋体" w:eastAsia="宋体" w:cs="宋体"/>
          <w:b/>
          <w:color w:val="000000"/>
          <w:sz w:val="30"/>
          <w:szCs w:val="30"/>
        </w:rPr>
        <w:t>，提升</w:t>
      </w:r>
      <w:r>
        <w:rPr>
          <w:rFonts w:hint="eastAsia" w:ascii="宋体" w:hAnsi="宋体" w:eastAsia="宋体" w:cs="宋体"/>
          <w:b/>
          <w:color w:val="000000"/>
          <w:sz w:val="30"/>
          <w:szCs w:val="30"/>
          <w:lang w:eastAsia="zh-CN"/>
        </w:rPr>
        <w:t>保教</w:t>
      </w:r>
      <w:r>
        <w:rPr>
          <w:rFonts w:hint="eastAsia" w:ascii="宋体" w:hAnsi="宋体" w:eastAsia="宋体" w:cs="宋体"/>
          <w:b/>
          <w:color w:val="000000"/>
          <w:sz w:val="30"/>
          <w:szCs w:val="30"/>
        </w:rPr>
        <w:t>质量
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2" w:firstLineChars="200"/>
        <w:textAlignment w:val="auto"/>
        <w:rPr>
          <w:rFonts w:hint="eastAsia" w:ascii="仿宋" w:hAnsi="仿宋" w:eastAsia="仿宋" w:cs="仿宋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color w:val="000000"/>
          <w:sz w:val="30"/>
          <w:szCs w:val="30"/>
        </w:rPr>
        <w:t xml:space="preserve"> 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2022年，教育部印发《幼儿园保育教育质量评估指南》、</w:t>
      </w:r>
      <w:r>
        <w:rPr>
          <w:rFonts w:hint="eastAsia" w:ascii="宋体" w:hAnsi="宋体"/>
          <w:sz w:val="28"/>
          <w:szCs w:val="28"/>
        </w:rPr>
        <w:t>《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幼儿园入学准备教育指导要点》，对</w:t>
      </w:r>
      <w:r>
        <w:rPr>
          <w:rFonts w:hint="eastAsia" w:ascii="仿宋" w:hAnsi="仿宋" w:eastAsia="仿宋" w:cs="仿宋"/>
          <w:color w:val="000000"/>
          <w:sz w:val="30"/>
          <w:szCs w:val="30"/>
          <w:lang w:val="en-US" w:eastAsia="zh-CN"/>
        </w:rPr>
        <w:t>学前教育回归传统、回归自然、回归游戏、回归儿童，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全面提升保教质量提出了明确要求。我园从以下三个方面为抓手，创新课程建设，践行游戏活动，推进幼小衔接，提升保教质量。</w:t>
      </w:r>
      <w:r>
        <w:rPr>
          <w:rFonts w:hint="eastAsia" w:ascii="仿宋" w:hAnsi="仿宋" w:eastAsia="仿宋" w:cs="仿宋"/>
          <w:b/>
          <w:color w:val="000000"/>
          <w:sz w:val="30"/>
          <w:szCs w:val="30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2" w:firstLineChars="200"/>
        <w:textAlignment w:val="auto"/>
        <w:rPr>
          <w:rFonts w:hint="eastAsia" w:ascii="仿宋" w:hAnsi="仿宋" w:eastAsia="仿宋" w:cs="仿宋"/>
          <w:b/>
          <w:bCs/>
          <w:color w:val="000000"/>
          <w:kern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30"/>
          <w:szCs w:val="30"/>
          <w:lang w:val="en-US" w:eastAsia="zh-CN"/>
        </w:rPr>
        <w:t>1、推进户外游戏，践行幼教新理念。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0" w:firstLineChars="200"/>
        <w:textAlignment w:val="auto"/>
        <w:rPr>
          <w:rFonts w:hint="eastAsia" w:ascii="仿宋" w:hAnsi="仿宋" w:eastAsia="仿宋" w:cs="仿宋"/>
          <w:color w:val="000000"/>
          <w:sz w:val="30"/>
          <w:szCs w:val="30"/>
        </w:rPr>
      </w:pPr>
      <w:r>
        <w:rPr>
          <w:rFonts w:hint="eastAsia" w:ascii="仿宋" w:hAnsi="仿宋" w:eastAsia="仿宋" w:cs="仿宋"/>
          <w:color w:val="000000"/>
          <w:sz w:val="30"/>
          <w:szCs w:val="30"/>
        </w:rPr>
        <w:t>2021年</w:t>
      </w:r>
      <w:r>
        <w:rPr>
          <w:rFonts w:hint="eastAsia" w:ascii="仿宋" w:hAnsi="仿宋" w:eastAsia="仿宋" w:cs="仿宋"/>
          <w:color w:val="000000"/>
          <w:sz w:val="30"/>
          <w:szCs w:val="30"/>
          <w:lang w:val="en-US" w:eastAsia="zh-CN"/>
        </w:rPr>
        <w:t>5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月，</w:t>
      </w:r>
      <w:r>
        <w:rPr>
          <w:rFonts w:hint="eastAsia" w:ascii="仿宋" w:hAnsi="仿宋" w:eastAsia="仿宋" w:cs="仿宋"/>
          <w:color w:val="000000"/>
          <w:sz w:val="30"/>
          <w:szCs w:val="30"/>
          <w:lang w:val="en-US" w:eastAsia="zh-CN"/>
        </w:rPr>
        <w:t>我园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永济</w:t>
      </w:r>
      <w:r>
        <w:rPr>
          <w:rFonts w:hint="eastAsia" w:ascii="仿宋" w:hAnsi="仿宋" w:eastAsia="仿宋" w:cs="仿宋"/>
          <w:color w:val="000000"/>
          <w:sz w:val="30"/>
          <w:szCs w:val="30"/>
          <w:lang w:val="en-US" w:eastAsia="zh-CN"/>
        </w:rPr>
        <w:t>分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园遴选为省级游戏活动试点园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，</w:t>
      </w:r>
      <w:r>
        <w:rPr>
          <w:rFonts w:hint="eastAsia" w:ascii="仿宋" w:hAnsi="仿宋" w:eastAsia="仿宋" w:cs="仿宋"/>
          <w:color w:val="000000"/>
          <w:sz w:val="30"/>
          <w:szCs w:val="30"/>
          <w:lang w:val="en-US" w:eastAsia="zh-CN"/>
        </w:rPr>
        <w:t>2022年5月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遴选为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市级幼小科学衔接试点园。近年来，我园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以永济园为示范，其他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各园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同步推进户外游戏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和幼小衔接工作。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目前，我们正在步入游戏活动深入实践阶段。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各分园</w:t>
      </w:r>
      <w:r>
        <w:rPr>
          <w:rFonts w:hint="eastAsia" w:ascii="仿宋" w:hAnsi="仿宋" w:eastAsia="仿宋" w:cs="仿宋"/>
          <w:color w:val="000000"/>
          <w:sz w:val="30"/>
          <w:szCs w:val="30"/>
          <w:lang w:val="en-US" w:eastAsia="zh-CN"/>
        </w:rPr>
        <w:t>逐步从2022年度的“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制定游戏方案、改善游戏场地、营造游戏环境、投入游戏材料</w:t>
      </w:r>
      <w:r>
        <w:rPr>
          <w:rFonts w:hint="eastAsia" w:ascii="仿宋" w:hAnsi="仿宋" w:eastAsia="仿宋" w:cs="仿宋"/>
          <w:color w:val="000000"/>
          <w:sz w:val="30"/>
          <w:szCs w:val="30"/>
          <w:lang w:val="en-US" w:eastAsia="zh-CN"/>
        </w:rPr>
        <w:t>”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向“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关注游戏过程、研讨游戏问题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”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等方面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进行深入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探索和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实践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。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主要落实在“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游戏前</w:t>
      </w:r>
      <w:r>
        <w:rPr>
          <w:rFonts w:hint="eastAsia" w:ascii="仿宋" w:hAnsi="仿宋" w:eastAsia="仿宋" w:cs="仿宋"/>
          <w:color w:val="000000"/>
          <w:sz w:val="30"/>
          <w:szCs w:val="30"/>
          <w:lang w:val="en-US" w:eastAsia="zh-CN"/>
        </w:rPr>
        <w:t>的计划、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游戏中</w:t>
      </w:r>
      <w:r>
        <w:rPr>
          <w:rFonts w:hint="eastAsia" w:ascii="仿宋" w:hAnsi="仿宋" w:eastAsia="仿宋" w:cs="仿宋"/>
          <w:color w:val="000000"/>
          <w:sz w:val="30"/>
          <w:szCs w:val="30"/>
          <w:lang w:val="en-US" w:eastAsia="zh-CN"/>
        </w:rPr>
        <w:t>的观察、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游戏后</w:t>
      </w:r>
      <w:r>
        <w:rPr>
          <w:rFonts w:hint="eastAsia" w:ascii="仿宋" w:hAnsi="仿宋" w:eastAsia="仿宋" w:cs="仿宋"/>
          <w:color w:val="000000"/>
          <w:sz w:val="30"/>
          <w:szCs w:val="30"/>
          <w:lang w:val="en-US" w:eastAsia="zh-CN"/>
        </w:rPr>
        <w:t>的分享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”</w:t>
      </w:r>
      <w:r>
        <w:rPr>
          <w:rFonts w:hint="eastAsia" w:ascii="仿宋" w:hAnsi="仿宋" w:eastAsia="仿宋" w:cs="仿宋"/>
          <w:color w:val="000000"/>
          <w:sz w:val="30"/>
          <w:szCs w:val="30"/>
          <w:lang w:val="en-US" w:eastAsia="zh-CN"/>
        </w:rPr>
        <w:t>三个方面，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永济园作为省级试点园，</w:t>
      </w:r>
      <w:r>
        <w:rPr>
          <w:rFonts w:hint="eastAsia" w:ascii="仿宋" w:hAnsi="仿宋" w:eastAsia="仿宋" w:cs="仿宋"/>
          <w:color w:val="000000"/>
          <w:sz w:val="30"/>
          <w:szCs w:val="30"/>
          <w:lang w:val="en-US" w:eastAsia="zh-CN"/>
        </w:rPr>
        <w:t>将游戏化教学延伸到引导幼儿做游戏计划、雨天户外游戏活动开展、游戏绘画、游戏故事分享等深层次阶段，深入探索幼儿在游戏中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想象力、创造力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、</w:t>
      </w:r>
      <w:r>
        <w:rPr>
          <w:rFonts w:hint="eastAsia" w:ascii="仿宋" w:hAnsi="仿宋" w:eastAsia="仿宋" w:cs="仿宋"/>
          <w:color w:val="000000"/>
          <w:sz w:val="30"/>
          <w:szCs w:val="30"/>
          <w:lang w:val="en-US" w:eastAsia="zh-CN"/>
        </w:rPr>
        <w:t>专注力、持久力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和解决问题能力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的培养，关注幼儿深度学习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2" w:firstLineChars="200"/>
        <w:textAlignment w:val="auto"/>
        <w:rPr>
          <w:rFonts w:hint="eastAsia" w:ascii="仿宋" w:hAnsi="仿宋" w:eastAsia="仿宋" w:cs="仿宋"/>
          <w:b/>
          <w:bCs/>
          <w:color w:val="000000"/>
          <w:kern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30"/>
          <w:szCs w:val="30"/>
          <w:lang w:val="en-US" w:eastAsia="zh-CN"/>
        </w:rPr>
        <w:t>2、丰富区域游戏，拓展保教新时空。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0" w:firstLineChars="200"/>
        <w:textAlignment w:val="auto"/>
        <w:rPr>
          <w:rFonts w:hint="eastAsia" w:ascii="仿宋" w:hAnsi="仿宋" w:eastAsia="仿宋" w:cs="仿宋"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0"/>
          <w:szCs w:val="30"/>
        </w:rPr>
        <w:t>户外游戏活动受时间、空间、天气的影响比较大，因此我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园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在户外自主游戏活动的基础上拓展了室内区域游戏活动，充分保障游戏活动的时间和空间。永济中心幼儿园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利用</w:t>
      </w:r>
      <w:r>
        <w:rPr>
          <w:rFonts w:hint="eastAsia" w:ascii="仿宋" w:hAnsi="仿宋" w:eastAsia="仿宋" w:cs="仿宋"/>
          <w:color w:val="000000"/>
          <w:sz w:val="30"/>
          <w:szCs w:val="30"/>
          <w:lang w:val="en-US" w:eastAsia="zh-CN"/>
        </w:rPr>
        <w:t>班级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活动室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和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园内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功能室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开辟了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美工室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、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表演厅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、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科学探索室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、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绘本室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、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益智区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等</w:t>
      </w:r>
      <w:r>
        <w:rPr>
          <w:rFonts w:hint="eastAsia" w:ascii="仿宋" w:hAnsi="仿宋" w:eastAsia="仿宋" w:cs="仿宋"/>
          <w:color w:val="000000"/>
          <w:sz w:val="30"/>
          <w:szCs w:val="30"/>
          <w:lang w:val="en-US" w:eastAsia="zh-CN"/>
        </w:rPr>
        <w:t>13个功能各异的大区域，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全园幼儿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自主选择区域参加游戏活动。其他四所分园在各班</w:t>
      </w:r>
      <w:r>
        <w:rPr>
          <w:rFonts w:hint="eastAsia" w:ascii="仿宋" w:hAnsi="仿宋" w:eastAsia="仿宋" w:cs="仿宋"/>
          <w:color w:val="000000"/>
          <w:sz w:val="30"/>
          <w:szCs w:val="30"/>
          <w:lang w:val="en-US" w:eastAsia="zh-CN"/>
        </w:rPr>
        <w:t>教室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创设游戏区域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，</w:t>
      </w:r>
      <w:r>
        <w:rPr>
          <w:rFonts w:hint="eastAsia" w:ascii="仿宋" w:hAnsi="仿宋" w:eastAsia="仿宋" w:cs="仿宋"/>
          <w:color w:val="000000"/>
          <w:sz w:val="30"/>
          <w:szCs w:val="30"/>
          <w:lang w:val="en-US" w:eastAsia="zh-CN"/>
        </w:rPr>
        <w:t>同时充分装备、利用好已有的功能室和剩余空间，拓展幼儿的活动空间，最大限度地支持幼儿的游戏活动和发展需要。如:路口园的厨艺室、宝盒室、多功能厅；文桥园的舞蹈室、游戏房、阳光房；长炼园的舞蹈室、多功能厅、游戏房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2" w:firstLineChars="200"/>
        <w:textAlignment w:val="auto"/>
        <w:rPr>
          <w:rFonts w:hint="eastAsia" w:ascii="仿宋" w:hAnsi="仿宋" w:eastAsia="仿宋" w:cs="仿宋"/>
          <w:b/>
          <w:bCs/>
          <w:color w:val="000000"/>
          <w:kern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30"/>
          <w:szCs w:val="30"/>
          <w:lang w:val="en-US" w:eastAsia="zh-CN"/>
        </w:rPr>
        <w:t>3、发掘园本特色，探索育人新路径。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0" w:firstLineChars="200"/>
        <w:textAlignment w:val="auto"/>
        <w:rPr>
          <w:rFonts w:hint="eastAsia" w:ascii="宋体" w:hAnsi="宋体" w:cs="宋体"/>
          <w:color w:val="00000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本年度，我园在“提质量、创特色”方面持续发力，各园充分结合自身园所环境、地域特点、师资水平、经验沉淀、学习思考等，</w:t>
      </w:r>
      <w:r>
        <w:rPr>
          <w:rFonts w:hint="eastAsia" w:ascii="仿宋" w:hAnsi="仿宋" w:eastAsia="仿宋" w:cs="仿宋"/>
          <w:color w:val="000000"/>
          <w:sz w:val="30"/>
          <w:szCs w:val="30"/>
          <w:lang w:val="en-US" w:eastAsia="zh-CN"/>
        </w:rPr>
        <w:t>经过近几年的学习、探索、持续推进，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初步形成各自的特色教育活动。</w:t>
      </w:r>
      <w:r>
        <w:rPr>
          <w:rFonts w:hint="eastAsia" w:ascii="仿宋" w:hAnsi="仿宋" w:eastAsia="仿宋" w:cs="仿宋"/>
          <w:color w:val="000000"/>
          <w:sz w:val="30"/>
          <w:szCs w:val="30"/>
          <w:lang w:val="en-US" w:eastAsia="zh-CN"/>
        </w:rPr>
        <w:t>其中：路口园以“厨艺室--美食制作”为园本教育特色；长炼园以“唐诗--经典诵读”为园本特色；文桥园以“区域活动--劳动教育”为园本特色；陆城园以“生活--生成课程”为园本特色；永济园以“自主游戏--深度学习”为园本特色。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在</w:t>
      </w:r>
      <w:r>
        <w:rPr>
          <w:rFonts w:hint="eastAsia" w:ascii="仿宋" w:hAnsi="仿宋" w:eastAsia="仿宋" w:cs="仿宋"/>
          <w:color w:val="000000"/>
          <w:sz w:val="30"/>
          <w:szCs w:val="30"/>
          <w:lang w:val="en-US" w:eastAsia="zh-CN"/>
        </w:rPr>
        <w:t>2023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年度综合绩效考核工作中，各园以</w:t>
      </w:r>
      <w:r>
        <w:rPr>
          <w:rFonts w:hint="eastAsia" w:ascii="仿宋" w:hAnsi="仿宋" w:eastAsia="仿宋" w:cs="仿宋"/>
          <w:color w:val="000000"/>
          <w:sz w:val="30"/>
          <w:szCs w:val="30"/>
          <w:lang w:val="en-US" w:eastAsia="zh-CN"/>
        </w:rPr>
        <w:t>PPT和现场汇报的方式向局考核组进行了全面汇报，得到考核组的肯定和好评。</w:t>
      </w:r>
    </w:p>
    <w:p>
      <w:pPr>
        <w:pStyle w:val="2"/>
        <w:bidi w:val="0"/>
        <w:ind w:left="0" w:leftChars="0" w:firstLine="321" w:firstLineChars="100"/>
        <w:rPr>
          <w:rFonts w:hint="eastAsia"/>
        </w:rPr>
      </w:pPr>
      <w:r>
        <w:rPr>
          <w:rFonts w:hint="eastAsia"/>
        </w:rPr>
        <w:t>七、存在的问题及原因分析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2023年我单位无预算支出执行偏离绩效目标的情况。</w:t>
      </w:r>
    </w:p>
    <w:p>
      <w:pPr>
        <w:pStyle w:val="2"/>
        <w:bidi w:val="0"/>
        <w:ind w:left="0" w:leftChars="0" w:firstLine="321" w:firstLineChars="100"/>
        <w:rPr>
          <w:rFonts w:hint="eastAsia"/>
        </w:rPr>
      </w:pPr>
      <w:r>
        <w:rPr>
          <w:rFonts w:hint="eastAsia"/>
        </w:rPr>
        <w:t>八、下一步改进措施</w:t>
      </w:r>
    </w:p>
    <w:p>
      <w:pPr>
        <w:pStyle w:val="14"/>
        <w:spacing w:line="600" w:lineRule="exact"/>
        <w:ind w:firstLine="643"/>
        <w:rPr>
          <w:rFonts w:hint="eastAsia" w:ascii="仿宋_GB2312" w:eastAsia="仿宋_GB2312"/>
          <w:color w:val="000000"/>
          <w:sz w:val="32"/>
          <w:szCs w:val="32"/>
        </w:rPr>
      </w:pP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无。</w:t>
      </w:r>
    </w:p>
    <w:p>
      <w:pPr>
        <w:pStyle w:val="2"/>
        <w:bidi w:val="0"/>
        <w:ind w:left="0" w:leftChars="0" w:firstLine="321" w:firstLineChars="100"/>
        <w:rPr>
          <w:rFonts w:hint="eastAsia"/>
          <w:lang w:val="en-US" w:eastAsia="en-US"/>
        </w:rPr>
      </w:pPr>
      <w:r>
        <w:rPr>
          <w:rFonts w:hint="eastAsia"/>
          <w:lang w:val="en-US" w:eastAsia="en-US"/>
        </w:rPr>
        <w:t>九、其他需要说明的情况</w:t>
      </w:r>
    </w:p>
    <w:p>
      <w:pPr>
        <w:pStyle w:val="14"/>
        <w:spacing w:line="600" w:lineRule="exact"/>
        <w:ind w:firstLine="643"/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无。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framePr w:wrap="around" w:vAnchor="text" w:hAnchor="margin" w:xAlign="outside" w:y="1"/>
      <w:rPr>
        <w:rStyle w:val="9"/>
        <w:sz w:val="24"/>
        <w:szCs w:val="24"/>
      </w:rPr>
    </w:pPr>
    <w:r>
      <w:rPr>
        <w:rStyle w:val="9"/>
        <w:rFonts w:hint="eastAsia"/>
        <w:sz w:val="24"/>
        <w:szCs w:val="24"/>
      </w:rPr>
      <w:t xml:space="preserve">— </w:t>
    </w:r>
    <w:r>
      <w:rPr>
        <w:sz w:val="24"/>
        <w:szCs w:val="24"/>
      </w:rPr>
      <w:fldChar w:fldCharType="begin"/>
    </w:r>
    <w:r>
      <w:rPr>
        <w:rStyle w:val="9"/>
        <w:sz w:val="24"/>
        <w:szCs w:val="24"/>
      </w:rPr>
      <w:instrText xml:space="preserve">PAGE  </w:instrText>
    </w:r>
    <w:r>
      <w:rPr>
        <w:sz w:val="24"/>
        <w:szCs w:val="24"/>
      </w:rPr>
      <w:fldChar w:fldCharType="separate"/>
    </w:r>
    <w:r>
      <w:rPr>
        <w:rStyle w:val="9"/>
        <w:sz w:val="24"/>
        <w:szCs w:val="24"/>
      </w:rPr>
      <w:t>2</w:t>
    </w:r>
    <w:r>
      <w:rPr>
        <w:sz w:val="24"/>
        <w:szCs w:val="24"/>
      </w:rPr>
      <w:fldChar w:fldCharType="end"/>
    </w:r>
    <w:r>
      <w:rPr>
        <w:rStyle w:val="9"/>
        <w:rFonts w:hint="eastAsia"/>
        <w:sz w:val="24"/>
        <w:szCs w:val="24"/>
      </w:rPr>
      <w:t xml:space="preserve"> —</w:t>
    </w:r>
  </w:p>
  <w:p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framePr w:wrap="around" w:vAnchor="text" w:hAnchor="margin" w:xAlign="outside" w:y="1"/>
    </w:pPr>
    <w:r>
      <w:fldChar w:fldCharType="begin"/>
    </w:r>
    <w:r>
      <w:instrText xml:space="preserve">PAGE  </w:instrText>
    </w:r>
    <w:r>
      <w:fldChar w:fldCharType="separate"/>
    </w:r>
    <w:r>
      <w:t>- 15 -</w:t>
    </w:r>
    <w:r>
      <w:fldChar w:fldCharType="end"/>
    </w:r>
  </w:p>
  <w:p>
    <w:pPr>
      <w:ind w:right="360" w:firstLine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2761222"/>
    <w:multiLevelType w:val="singleLevel"/>
    <w:tmpl w:val="B2761222"/>
    <w:lvl w:ilvl="0" w:tentative="0">
      <w:start w:val="2"/>
      <w:numFmt w:val="decimal"/>
      <w:suff w:val="nothing"/>
      <w:lvlText w:val="%1、"/>
      <w:lvlJc w:val="left"/>
    </w:lvl>
  </w:abstractNum>
  <w:abstractNum w:abstractNumId="1">
    <w:nsid w:val="387498EA"/>
    <w:multiLevelType w:val="singleLevel"/>
    <w:tmpl w:val="387498EA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zNjBkOTgyNWQ1YTMxYzM3MzMwNWFiODNmOWIzYWMifQ=="/>
  </w:docVars>
  <w:rsids>
    <w:rsidRoot w:val="00172A27"/>
    <w:rsid w:val="02A9251A"/>
    <w:rsid w:val="02B9263D"/>
    <w:rsid w:val="032B47A9"/>
    <w:rsid w:val="03AA1A5C"/>
    <w:rsid w:val="03DC1511"/>
    <w:rsid w:val="05375E6B"/>
    <w:rsid w:val="05CA0255"/>
    <w:rsid w:val="072B7061"/>
    <w:rsid w:val="07765EFA"/>
    <w:rsid w:val="08F77045"/>
    <w:rsid w:val="09F45FD8"/>
    <w:rsid w:val="0AF449E6"/>
    <w:rsid w:val="0C791C75"/>
    <w:rsid w:val="10E53545"/>
    <w:rsid w:val="11DD21FB"/>
    <w:rsid w:val="12524FF3"/>
    <w:rsid w:val="15155F83"/>
    <w:rsid w:val="152C2AC9"/>
    <w:rsid w:val="1711679D"/>
    <w:rsid w:val="186A0D56"/>
    <w:rsid w:val="19544915"/>
    <w:rsid w:val="19670BC4"/>
    <w:rsid w:val="1B1704A0"/>
    <w:rsid w:val="1C320A84"/>
    <w:rsid w:val="1D470521"/>
    <w:rsid w:val="1D4D5CD3"/>
    <w:rsid w:val="1F713AC0"/>
    <w:rsid w:val="1FD1383D"/>
    <w:rsid w:val="20756E2D"/>
    <w:rsid w:val="26534D14"/>
    <w:rsid w:val="279D7857"/>
    <w:rsid w:val="27B64475"/>
    <w:rsid w:val="27D863C0"/>
    <w:rsid w:val="28635EA4"/>
    <w:rsid w:val="2AB54840"/>
    <w:rsid w:val="2AE61515"/>
    <w:rsid w:val="2C09639A"/>
    <w:rsid w:val="2D701BA0"/>
    <w:rsid w:val="2D7E77E3"/>
    <w:rsid w:val="2DD67B47"/>
    <w:rsid w:val="31D12A10"/>
    <w:rsid w:val="320B6A4B"/>
    <w:rsid w:val="38D17A67"/>
    <w:rsid w:val="39667F7B"/>
    <w:rsid w:val="3D0C4AEA"/>
    <w:rsid w:val="3DE6565C"/>
    <w:rsid w:val="3DFF5B32"/>
    <w:rsid w:val="41203882"/>
    <w:rsid w:val="41265F61"/>
    <w:rsid w:val="42075CA8"/>
    <w:rsid w:val="42400253"/>
    <w:rsid w:val="447A08AC"/>
    <w:rsid w:val="456D6663"/>
    <w:rsid w:val="45795F75"/>
    <w:rsid w:val="465F578E"/>
    <w:rsid w:val="48FA4E76"/>
    <w:rsid w:val="498E170A"/>
    <w:rsid w:val="4E8B1F67"/>
    <w:rsid w:val="4FE20849"/>
    <w:rsid w:val="510D0FC2"/>
    <w:rsid w:val="55BA31FE"/>
    <w:rsid w:val="56F40992"/>
    <w:rsid w:val="57A15887"/>
    <w:rsid w:val="596423C7"/>
    <w:rsid w:val="5B5B0FE0"/>
    <w:rsid w:val="5C7E4EBD"/>
    <w:rsid w:val="5CC772D2"/>
    <w:rsid w:val="5F663B83"/>
    <w:rsid w:val="5F8D53A3"/>
    <w:rsid w:val="62326812"/>
    <w:rsid w:val="624A5785"/>
    <w:rsid w:val="624F2C18"/>
    <w:rsid w:val="63660064"/>
    <w:rsid w:val="63E53BC8"/>
    <w:rsid w:val="64673F7C"/>
    <w:rsid w:val="65D00FC6"/>
    <w:rsid w:val="66586A7F"/>
    <w:rsid w:val="69C12CD2"/>
    <w:rsid w:val="6A573944"/>
    <w:rsid w:val="6B38404F"/>
    <w:rsid w:val="6B8A28E3"/>
    <w:rsid w:val="6C336C88"/>
    <w:rsid w:val="6E2D7665"/>
    <w:rsid w:val="71436346"/>
    <w:rsid w:val="71561767"/>
    <w:rsid w:val="72A82F68"/>
    <w:rsid w:val="72B11A15"/>
    <w:rsid w:val="73C70602"/>
    <w:rsid w:val="76C92F4B"/>
    <w:rsid w:val="76E64558"/>
    <w:rsid w:val="785771FF"/>
    <w:rsid w:val="78A50E3F"/>
    <w:rsid w:val="7A463F19"/>
    <w:rsid w:val="7AAC2882"/>
    <w:rsid w:val="7C582B10"/>
    <w:rsid w:val="7DAD0FE3"/>
    <w:rsid w:val="7DED5DF2"/>
    <w:rsid w:val="7EDC5EE9"/>
    <w:rsid w:val="7F0B3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beforeLines="0" w:beforeAutospacing="0" w:afterLines="0" w:afterAutospacing="0" w:line="560" w:lineRule="exact"/>
      <w:ind w:firstLine="640" w:firstLineChars="200"/>
      <w:outlineLvl w:val="0"/>
    </w:pPr>
    <w:rPr>
      <w:rFonts w:eastAsia="黑体" w:asciiTheme="minorAscii" w:hAnsiTheme="minorAscii"/>
      <w:b/>
      <w:kern w:val="44"/>
      <w:sz w:val="32"/>
    </w:rPr>
  </w:style>
  <w:style w:type="paragraph" w:styleId="3">
    <w:name w:val="heading 2"/>
    <w:basedOn w:val="1"/>
    <w:next w:val="1"/>
    <w:autoRedefine/>
    <w:unhideWhenUsed/>
    <w:qFormat/>
    <w:uiPriority w:val="0"/>
    <w:pPr>
      <w:keepNext/>
      <w:keepLines/>
      <w:spacing w:line="560" w:lineRule="exact"/>
      <w:ind w:firstLine="200" w:firstLineChars="200"/>
      <w:outlineLvl w:val="1"/>
    </w:pPr>
    <w:rPr>
      <w:rFonts w:eastAsia="楷体_GB2312" w:asciiTheme="majorAscii" w:hAnsiTheme="majorAscii" w:cstheme="majorBidi"/>
      <w:b/>
      <w:bCs/>
      <w:sz w:val="32"/>
      <w:szCs w:val="32"/>
    </w:rPr>
  </w:style>
  <w:style w:type="paragraph" w:styleId="4">
    <w:name w:val="heading 3"/>
    <w:basedOn w:val="1"/>
    <w:next w:val="1"/>
    <w:autoRedefine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640" w:firstLineChars="200"/>
      <w:outlineLvl w:val="2"/>
    </w:pPr>
    <w:rPr>
      <w:rFonts w:eastAsia="仿宋_GB2312" w:asciiTheme="minorAscii" w:hAnsiTheme="minorAscii"/>
      <w:sz w:val="32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6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page number"/>
    <w:autoRedefine/>
    <w:qFormat/>
    <w:uiPriority w:val="0"/>
  </w:style>
  <w:style w:type="paragraph" w:customStyle="1" w:styleId="10">
    <w:name w:val="BodyText1I2"/>
    <w:basedOn w:val="11"/>
    <w:autoRedefine/>
    <w:qFormat/>
    <w:uiPriority w:val="0"/>
    <w:pPr>
      <w:spacing w:before="100" w:beforeAutospacing="1" w:after="0"/>
      <w:ind w:left="0" w:firstLine="420" w:firstLineChars="200"/>
    </w:pPr>
    <w:rPr>
      <w:rFonts w:ascii="Calibri" w:hAnsi="Calibri"/>
    </w:rPr>
  </w:style>
  <w:style w:type="paragraph" w:customStyle="1" w:styleId="11">
    <w:name w:val="BodyTextIndent"/>
    <w:basedOn w:val="1"/>
    <w:autoRedefine/>
    <w:qFormat/>
    <w:uiPriority w:val="0"/>
    <w:pPr>
      <w:spacing w:after="120"/>
      <w:ind w:left="420" w:leftChars="200"/>
    </w:pPr>
  </w:style>
  <w:style w:type="paragraph" w:customStyle="1" w:styleId="12">
    <w:name w:val="BodyText1I"/>
    <w:basedOn w:val="1"/>
    <w:autoRedefine/>
    <w:qFormat/>
    <w:uiPriority w:val="99"/>
    <w:pPr>
      <w:snapToGrid w:val="0"/>
      <w:spacing w:line="360" w:lineRule="auto"/>
      <w:ind w:firstLine="420" w:firstLineChars="100"/>
    </w:pPr>
    <w:rPr>
      <w:sz w:val="28"/>
      <w:szCs w:val="20"/>
    </w:rPr>
  </w:style>
  <w:style w:type="paragraph" w:customStyle="1" w:styleId="13">
    <w:name w:val="标题1"/>
    <w:basedOn w:val="3"/>
    <w:autoRedefine/>
    <w:qFormat/>
    <w:uiPriority w:val="0"/>
    <w:rPr>
      <w:rFonts w:eastAsia="黑体"/>
    </w:rPr>
  </w:style>
  <w:style w:type="paragraph" w:customStyle="1" w:styleId="14">
    <w:name w:val="List Paragraph_a0f507d5-6e28-4914-b37f-020b7d2b0f7c"/>
    <w:basedOn w:val="1"/>
    <w:autoRedefine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4219</Words>
  <Characters>4559</Characters>
  <Lines>1</Lines>
  <Paragraphs>1</Paragraphs>
  <TotalTime>0</TotalTime>
  <ScaleCrop>false</ScaleCrop>
  <LinksUpToDate>false</LinksUpToDate>
  <CharactersWithSpaces>4993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2024-05-20T07:10:00Z</dcterms:created>
  <dc:creator>HNBS-WORKER3</dc:creator>
  <cp:lastModifiedBy>XIE</cp:lastModifiedBy>
  <dcterms:modified xsi:type="dcterms:W3CDTF">2024-06-24T17:06:01Z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2EACD47548BD4DE7A4D66C6CD41716BF_13</vt:lpwstr>
  </property>
</Properties>
</file>