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800" w:lineRule="exact"/>
        <w:jc w:val="center"/>
        <w:rPr>
          <w:rFonts w:hint="eastAsia" w:eastAsia="方正小标宋简体"/>
          <w:bCs/>
          <w:sz w:val="46"/>
          <w:szCs w:val="46"/>
        </w:rPr>
      </w:pPr>
      <w:r>
        <w:rPr>
          <w:rFonts w:hint="eastAsia" w:eastAsia="方正小标宋简体"/>
          <w:bCs/>
          <w:sz w:val="46"/>
          <w:szCs w:val="46"/>
        </w:rPr>
        <w:t>岳阳市云溪区20</w:t>
      </w:r>
      <w:r>
        <w:rPr>
          <w:rFonts w:hint="eastAsia" w:eastAsia="方正小标宋简体"/>
          <w:bCs/>
          <w:sz w:val="46"/>
          <w:szCs w:val="46"/>
          <w:u w:val="single"/>
          <w:lang w:val="en-US" w:eastAsia="zh-CN"/>
        </w:rPr>
        <w:t>23</w:t>
      </w:r>
      <w:r>
        <w:rPr>
          <w:rFonts w:hint="eastAsia" w:eastAsia="方正小标宋简体"/>
          <w:bCs/>
          <w:sz w:val="46"/>
          <w:szCs w:val="46"/>
        </w:rPr>
        <w:t>年度部门整体支出</w:t>
      </w:r>
    </w:p>
    <w:p>
      <w:pPr>
        <w:spacing w:line="800" w:lineRule="exact"/>
        <w:jc w:val="center"/>
        <w:rPr>
          <w:rFonts w:hint="eastAsia" w:eastAsia="方正小标宋简体"/>
          <w:bCs/>
          <w:sz w:val="46"/>
          <w:szCs w:val="46"/>
        </w:rPr>
      </w:pPr>
      <w:r>
        <w:rPr>
          <w:rFonts w:hint="eastAsia" w:eastAsia="方正小标宋简体"/>
          <w:bCs/>
          <w:sz w:val="46"/>
          <w:szCs w:val="46"/>
        </w:rPr>
        <w:t>绩效评价自评报告</w:t>
      </w:r>
    </w:p>
    <w:p>
      <w:pPr>
        <w:rPr>
          <w:rFonts w:hint="eastAsia" w:eastAsia="仿宋_GB2312"/>
          <w:b/>
          <w:sz w:val="32"/>
        </w:rPr>
      </w:pPr>
    </w:p>
    <w:p>
      <w:pPr>
        <w:rPr>
          <w:rFonts w:hint="eastAsia" w:eastAsia="仿宋_GB2312"/>
          <w:b/>
          <w:sz w:val="32"/>
        </w:rPr>
      </w:pPr>
    </w:p>
    <w:p>
      <w:pPr>
        <w:rPr>
          <w:rFonts w:hint="eastAsia" w:eastAsia="仿宋_GB2312"/>
          <w:b/>
          <w:sz w:val="32"/>
        </w:rPr>
      </w:pPr>
    </w:p>
    <w:p>
      <w:pPr>
        <w:spacing w:before="301" w:beforeLines="50" w:line="348" w:lineRule="auto"/>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val="en-US" w:eastAsia="zh-CN"/>
        </w:rPr>
        <w:t>中共岳阳市云溪区委组织部</w:t>
      </w:r>
      <w:r>
        <w:rPr>
          <w:rFonts w:hint="eastAsia" w:eastAsia="仿宋_GB2312"/>
          <w:sz w:val="32"/>
          <w:u w:val="single"/>
        </w:rPr>
        <w:t xml:space="preserve"> </w:t>
      </w:r>
      <w:r>
        <w:rPr>
          <w:rFonts w:hint="eastAsia" w:eastAsia="仿宋_GB2312"/>
          <w:sz w:val="32"/>
          <w:szCs w:val="32"/>
          <w:u w:val="single"/>
        </w:rPr>
        <w:t xml:space="preserve">                           </w:t>
      </w:r>
    </w:p>
    <w:p>
      <w:pPr>
        <w:spacing w:before="301" w:beforeLines="50" w:line="348" w:lineRule="auto"/>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p>
    <w:p>
      <w:pPr>
        <w:spacing w:before="301" w:beforeLines="50" w:line="348" w:lineRule="auto"/>
        <w:ind w:firstLine="476" w:firstLineChars="150"/>
        <w:rPr>
          <w:rFonts w:hint="eastAsia" w:eastAsia="仿宋_GB2312"/>
          <w:sz w:val="32"/>
          <w:szCs w:val="32"/>
        </w:rPr>
      </w:pPr>
      <w:r>
        <w:rPr>
          <w:rFonts w:hint="eastAsia" w:eastAsia="仿宋_GB2312"/>
          <w:sz w:val="32"/>
          <w:szCs w:val="32"/>
        </w:rPr>
        <w:t>评价方式：部门（单位）绩效自评</w:t>
      </w:r>
    </w:p>
    <w:p>
      <w:pPr>
        <w:spacing w:before="301" w:beforeLines="50" w:line="348" w:lineRule="auto"/>
        <w:ind w:firstLine="476" w:firstLineChars="150"/>
        <w:rPr>
          <w:rFonts w:hint="eastAsia" w:eastAsia="仿宋_GB2312"/>
          <w:sz w:val="32"/>
          <w:szCs w:val="32"/>
        </w:rPr>
      </w:pPr>
      <w:r>
        <w:rPr>
          <w:rFonts w:hint="eastAsia" w:eastAsia="仿宋_GB2312"/>
          <w:sz w:val="32"/>
          <w:szCs w:val="32"/>
        </w:rPr>
        <w:t xml:space="preserve">评价机构：部门（单位）评价组   </w:t>
      </w:r>
    </w:p>
    <w:p>
      <w:pPr>
        <w:spacing w:line="720" w:lineRule="exact"/>
        <w:ind w:firstLine="2188" w:firstLineChars="690"/>
        <w:rPr>
          <w:rFonts w:hint="eastAsia" w:eastAsia="仿宋_GB2312"/>
          <w:sz w:val="32"/>
        </w:rPr>
      </w:pPr>
    </w:p>
    <w:p>
      <w:pPr>
        <w:spacing w:line="720" w:lineRule="exact"/>
        <w:ind w:firstLine="2188" w:firstLineChars="690"/>
        <w:rPr>
          <w:rFonts w:hint="eastAsia" w:eastAsia="仿宋_GB2312"/>
          <w:sz w:val="32"/>
        </w:rPr>
      </w:pPr>
    </w:p>
    <w:p>
      <w:pPr>
        <w:spacing w:line="720" w:lineRule="exact"/>
        <w:ind w:firstLine="2188" w:firstLineChars="690"/>
        <w:rPr>
          <w:rFonts w:hint="eastAsia" w:eastAsia="仿宋_GB2312"/>
          <w:sz w:val="32"/>
        </w:rPr>
      </w:pPr>
    </w:p>
    <w:p>
      <w:pPr>
        <w:spacing w:line="348" w:lineRule="auto"/>
        <w:jc w:val="center"/>
        <w:rPr>
          <w:rFonts w:hint="eastAsia" w:eastAsia="仿宋_GB2312"/>
          <w:sz w:val="32"/>
        </w:rPr>
      </w:pPr>
      <w:r>
        <w:rPr>
          <w:rFonts w:hint="eastAsia" w:eastAsia="仿宋_GB2312"/>
          <w:sz w:val="32"/>
        </w:rPr>
        <w:t>报告日期：</w:t>
      </w:r>
      <w:r>
        <w:rPr>
          <w:rFonts w:hint="eastAsia" w:eastAsia="仿宋_GB2312"/>
          <w:sz w:val="32"/>
          <w:lang w:val="en-US" w:eastAsia="zh-CN"/>
        </w:rPr>
        <w:t>2024</w:t>
      </w:r>
      <w:r>
        <w:rPr>
          <w:rFonts w:hint="eastAsia" w:eastAsia="仿宋_GB2312"/>
          <w:sz w:val="32"/>
        </w:rPr>
        <w:t>年</w:t>
      </w:r>
      <w:r>
        <w:rPr>
          <w:rFonts w:hint="eastAsia" w:eastAsia="仿宋_GB2312"/>
          <w:sz w:val="32"/>
          <w:lang w:val="en-US" w:eastAsia="zh-CN"/>
        </w:rPr>
        <w:t>7</w:t>
      </w:r>
      <w:r>
        <w:rPr>
          <w:rFonts w:hint="eastAsia" w:eastAsia="仿宋_GB2312"/>
          <w:sz w:val="32"/>
        </w:rPr>
        <w:t xml:space="preserve">月 </w:t>
      </w:r>
      <w:r>
        <w:rPr>
          <w:rFonts w:hint="eastAsia" w:eastAsia="仿宋_GB2312"/>
          <w:sz w:val="32"/>
          <w:lang w:val="en-US" w:eastAsia="zh-CN"/>
        </w:rPr>
        <w:t>10</w:t>
      </w:r>
      <w:r>
        <w:rPr>
          <w:rFonts w:hint="eastAsia" w:eastAsia="仿宋_GB2312"/>
          <w:sz w:val="32"/>
        </w:rPr>
        <w:t>日</w:t>
      </w:r>
    </w:p>
    <w:p>
      <w:pPr>
        <w:autoSpaceDN w:val="0"/>
        <w:jc w:val="center"/>
        <w:textAlignment w:val="center"/>
        <w:rPr>
          <w:rFonts w:hint="eastAsia" w:eastAsia="仿宋_GB2312"/>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r>
        <w:rPr>
          <w:rFonts w:hint="eastAsia" w:eastAsia="仿宋_GB2312"/>
          <w:sz w:val="32"/>
        </w:rPr>
        <w:t>岳阳市云溪财政</w:t>
      </w:r>
      <w:r>
        <w:rPr>
          <w:rFonts w:hint="eastAsia" w:eastAsia="仿宋_GB2312"/>
          <w:sz w:val="32"/>
          <w:szCs w:val="32"/>
        </w:rPr>
        <w:t>局（制）</w:t>
      </w:r>
    </w:p>
    <w:tbl>
      <w:tblPr>
        <w:tblStyle w:val="4"/>
        <w:tblW w:w="98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93"/>
        <w:gridCol w:w="1441"/>
        <w:gridCol w:w="213"/>
        <w:gridCol w:w="46"/>
        <w:gridCol w:w="1080"/>
        <w:gridCol w:w="210"/>
        <w:gridCol w:w="1145"/>
        <w:gridCol w:w="272"/>
        <w:gridCol w:w="808"/>
        <w:gridCol w:w="1479"/>
        <w:gridCol w:w="226"/>
        <w:gridCol w:w="196"/>
        <w:gridCol w:w="259"/>
        <w:gridCol w:w="1080"/>
        <w:gridCol w:w="265"/>
        <w:gridCol w:w="139"/>
        <w:gridCol w:w="316"/>
        <w:gridCol w:w="290"/>
        <w:gridCol w:w="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9800" w:type="dxa"/>
            <w:gridSpan w:val="18"/>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一、部门（单位）基本概况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654" w:type="dxa"/>
            <w:gridSpan w:val="2"/>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联系人</w:t>
            </w:r>
          </w:p>
        </w:tc>
        <w:tc>
          <w:tcPr>
            <w:tcW w:w="3561" w:type="dxa"/>
            <w:gridSpan w:val="6"/>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杨柳</w:t>
            </w:r>
          </w:p>
        </w:tc>
        <w:tc>
          <w:tcPr>
            <w:tcW w:w="1479" w:type="dxa"/>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联络电话</w:t>
            </w:r>
          </w:p>
        </w:tc>
        <w:tc>
          <w:tcPr>
            <w:tcW w:w="3106" w:type="dxa"/>
            <w:gridSpan w:val="9"/>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15675038955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654" w:type="dxa"/>
            <w:gridSpan w:val="2"/>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人员编制</w:t>
            </w:r>
          </w:p>
        </w:tc>
        <w:tc>
          <w:tcPr>
            <w:tcW w:w="3561" w:type="dxa"/>
            <w:gridSpan w:val="6"/>
            <w:vAlign w:val="center"/>
          </w:tcPr>
          <w:p>
            <w:pPr>
              <w:autoSpaceDN w:val="0"/>
              <w:spacing w:line="320" w:lineRule="exact"/>
              <w:jc w:val="center"/>
              <w:textAlignment w:val="center"/>
              <w:rPr>
                <w:rFonts w:hint="default" w:ascii="华文仿宋" w:hAnsi="华文仿宋" w:eastAsia="华文仿宋" w:cs="华文仿宋"/>
                <w:color w:val="000000"/>
                <w:sz w:val="24"/>
                <w:lang w:val="en-US" w:eastAsia="zh-CN"/>
              </w:rPr>
            </w:pPr>
            <w:r>
              <w:rPr>
                <w:rFonts w:hint="eastAsia" w:ascii="华文仿宋" w:hAnsi="华文仿宋" w:eastAsia="华文仿宋" w:cs="华文仿宋"/>
                <w:color w:val="000000"/>
                <w:sz w:val="24"/>
                <w:lang w:val="en-US" w:eastAsia="zh-CN"/>
              </w:rPr>
              <w:t>31</w:t>
            </w:r>
          </w:p>
        </w:tc>
        <w:tc>
          <w:tcPr>
            <w:tcW w:w="1479" w:type="dxa"/>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实有人数</w:t>
            </w:r>
          </w:p>
        </w:tc>
        <w:tc>
          <w:tcPr>
            <w:tcW w:w="3106" w:type="dxa"/>
            <w:gridSpan w:val="9"/>
            <w:vAlign w:val="center"/>
          </w:tcPr>
          <w:p>
            <w:pPr>
              <w:autoSpaceDN w:val="0"/>
              <w:spacing w:line="320" w:lineRule="exact"/>
              <w:jc w:val="center"/>
              <w:textAlignment w:val="center"/>
              <w:rPr>
                <w:rFonts w:hint="default" w:ascii="华文仿宋" w:hAnsi="华文仿宋" w:eastAsia="华文仿宋" w:cs="华文仿宋"/>
                <w:color w:val="000000"/>
                <w:sz w:val="24"/>
                <w:lang w:val="en-US" w:eastAsia="zh-CN"/>
              </w:rPr>
            </w:pPr>
            <w:r>
              <w:rPr>
                <w:rFonts w:hint="eastAsia" w:ascii="华文仿宋" w:hAnsi="华文仿宋" w:eastAsia="华文仿宋" w:cs="华文仿宋"/>
                <w:color w:val="000000"/>
                <w:sz w:val="24"/>
                <w:lang w:val="en-US" w:eastAsia="zh-CN"/>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1500" w:hRule="atLeast"/>
          <w:jc w:val="center"/>
        </w:trPr>
        <w:tc>
          <w:tcPr>
            <w:tcW w:w="1654" w:type="dxa"/>
            <w:gridSpan w:val="2"/>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职能职责概述</w:t>
            </w:r>
          </w:p>
        </w:tc>
        <w:tc>
          <w:tcPr>
            <w:tcW w:w="8146" w:type="dxa"/>
            <w:gridSpan w:val="16"/>
            <w:vAlign w:val="center"/>
          </w:tcPr>
          <w:p>
            <w:pPr>
              <w:autoSpaceDN w:val="0"/>
              <w:spacing w:line="32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云溪区委组织部认真贯彻中央、省、市组织部长会议和党的二十大精神，在种好“试验田”、创新“自选动作”、激励干部“闯创干”上持续发力，有效推进组织工作高质量发展，为云溪打造湖南现代石化万亿产业集群和中部地区最大石化基地提供了坚强的组织保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2464" w:hRule="atLeast"/>
          <w:jc w:val="center"/>
        </w:trPr>
        <w:tc>
          <w:tcPr>
            <w:tcW w:w="1654" w:type="dxa"/>
            <w:gridSpan w:val="2"/>
            <w:vAlign w:val="center"/>
          </w:tcPr>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年度主要</w:t>
            </w:r>
          </w:p>
          <w:p>
            <w:pPr>
              <w:autoSpaceDN w:val="0"/>
              <w:spacing w:line="320" w:lineRule="exact"/>
              <w:jc w:val="center"/>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工作内容</w:t>
            </w:r>
          </w:p>
        </w:tc>
        <w:tc>
          <w:tcPr>
            <w:tcW w:w="8146" w:type="dxa"/>
            <w:gridSpan w:val="16"/>
            <w:vAlign w:val="center"/>
          </w:tcPr>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任务1：坚持大规划优化队伍</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任务2：坚持大考核激励担当。</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任务3：</w:t>
            </w:r>
            <w:r>
              <w:rPr>
                <w:rFonts w:hint="eastAsia" w:ascii="华文仿宋" w:hAnsi="华文仿宋" w:eastAsia="华文仿宋" w:cs="华文仿宋"/>
                <w:color w:val="000000"/>
                <w:sz w:val="24"/>
                <w:lang w:eastAsia="zh-CN"/>
              </w:rPr>
              <w:t>坚持大党建引领发展</w:t>
            </w:r>
            <w:r>
              <w:rPr>
                <w:rFonts w:hint="eastAsia" w:ascii="华文仿宋" w:hAnsi="华文仿宋" w:eastAsia="华文仿宋" w:cs="华文仿宋"/>
                <w:color w:val="000000"/>
                <w:sz w:val="24"/>
              </w:rPr>
              <w:t>。</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任务4: 坚持大人才赋能引智。</w:t>
            </w:r>
          </w:p>
          <w:p>
            <w:pPr>
              <w:autoSpaceDN w:val="0"/>
              <w:spacing w:line="320" w:lineRule="exact"/>
              <w:jc w:val="left"/>
              <w:textAlignment w:val="center"/>
              <w:rPr>
                <w:rFonts w:hint="eastAsia" w:ascii="华文仿宋" w:hAnsi="华文仿宋" w:eastAsia="华文仿宋" w:cs="华文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2260" w:hRule="atLeast"/>
          <w:jc w:val="center"/>
        </w:trPr>
        <w:tc>
          <w:tcPr>
            <w:tcW w:w="1654" w:type="dxa"/>
            <w:gridSpan w:val="2"/>
            <w:vAlign w:val="center"/>
          </w:tcPr>
          <w:p>
            <w:pPr>
              <w:autoSpaceDN w:val="0"/>
              <w:spacing w:line="320" w:lineRule="exact"/>
              <w:jc w:val="center"/>
              <w:textAlignment w:val="center"/>
              <w:rPr>
                <w:rFonts w:hint="eastAsia" w:ascii="华文仿宋" w:hAnsi="华文仿宋" w:eastAsia="华文仿宋" w:cs="华文仿宋"/>
                <w:color w:val="000000"/>
                <w:spacing w:val="-6"/>
                <w:sz w:val="24"/>
              </w:rPr>
            </w:pPr>
            <w:r>
              <w:rPr>
                <w:rFonts w:hint="eastAsia" w:ascii="华文仿宋" w:hAnsi="华文仿宋" w:eastAsia="华文仿宋" w:cs="华文仿宋"/>
                <w:color w:val="000000"/>
                <w:spacing w:val="-6"/>
                <w:sz w:val="24"/>
              </w:rPr>
              <w:t>年度部门（单位）总体运行情况及取得的成绩</w:t>
            </w:r>
          </w:p>
        </w:tc>
        <w:tc>
          <w:tcPr>
            <w:tcW w:w="8146" w:type="dxa"/>
            <w:gridSpan w:val="16"/>
            <w:vAlign w:val="center"/>
          </w:tcPr>
          <w:p>
            <w:pPr>
              <w:numPr>
                <w:ilvl w:val="0"/>
                <w:numId w:val="1"/>
              </w:num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选贤任能，锻造高素质干部队伍。加强理论武装。围绕党建引领基层治理、乡村振兴等主题，举办各类培训班55期，党政领导授课36人次，集中轮训党员干部数8015人次。精心策划举办“学习贯彻党的十九届六中全会精神”专题培训班、“喜迎二十大”音乐党课活动，受到各界好评。选优配强干部。开展专题调研，全面了解换届后各单位班子运行、干部队伍担当作为情况及优秀后备干部表现。</w:t>
            </w:r>
          </w:p>
          <w:p>
            <w:pPr>
              <w:numPr>
                <w:ilvl w:val="0"/>
                <w:numId w:val="0"/>
              </w:num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2.考准考实，树立高标准政绩观念。整合考核资源。成立区委考核工作领导小组，顺利承接+考核工作职能。全力推进省、市绩效指标任务落实，严谨压实工作责任。科学设置考核内容，优化考核评价方式，综合运用“背靠背”测评、“一对一”座谈、实绩评估、基层走访等多种形式，全面考核领导班子和领导干部，发挥干部考核指挥棒、风向标、助推器作用。强化结果运用。创新推动“两考合一”，将考核结果与奖优罚劣紧密结合，在考核评定上明确将单位年度绩效成绩作为区管领导班子考核的重要依据，结果运用上做到“四个挂钩”（与评先评优挂钩、与整改提升挂钩、与班子调整挂钩、与职级晋升挂钩），引导领导干部树立和践行正确的政绩观。</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3.固本强基，引领高质量区域发展。扎实推进专项行动。排查并整治违建墓地221座，整治率达到100%。强力推动“消薄清零”，实行一村一策、挂图作战，14个村（社区）6月30日在全市率先完成销号、整区退出。全力做好两新党建。选派130名党建指导员和50名青年党员干部联系两新组织，“一企一策”研判组建形式，全面提升非公企业、社会组织党组织覆盖率。成立岳阳市石油化工及新材料产业链党建联盟，联合两厂和港区成立厂港地党建联盟，完成互动结对23对，办理联盟事项43项。统筹抓好其他党建。出台加强基层组织建设的规范性文件，畅通村干部晋升渠道，提高村干部待遇，加大运转经费保障。规范党员志愿服务体系建设，组建党员志愿服务队263支，注册党员志愿者7173人，注册率达93%；建立党员志愿服务区、镇级示范基地56个，派驻党员志愿服务队168支。</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4.筑巢聚才，建设高水平人才高地。广开门路聚人。组织50余家企业参加“学成岳阳、创业岳阳”“四海揽才”和校招活动，企业全职引进博士2人、硕士7人、副高以上职称3人，事业单位引进硕士9人、双一流高校本科3人、副高以上职称12人，柔性引进专家人才14人。量体裁衣用才。成功创建省级企业技术中心3个、省级科技企业孵化器1个，培育高新企业13家、国家和省级专精特新“小巨人”企业7家，促成聚仁化工等5家企业与高职院校签订产学研合作协议。成功推荐省级创新达人1人、市产业领军人才1人、市级人才（团队）项目13项。春风化雨爱才。建立区级领导直接联系服务专家制度，31名区级领导直接联系35名专家人才。开展产业人才大走访、“走、解、优”等活动，协调解决人才住行等困难问题11件，举办“优秀科技工作者”“云溪名师”“云溪名医”等人才评选活动，选拔28名本土优秀人才予以表彰奖励。指导86人成功申报各类人才补贴100余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9800" w:type="dxa"/>
            <w:gridSpan w:val="18"/>
            <w:vAlign w:val="center"/>
          </w:tcPr>
          <w:p>
            <w:pPr>
              <w:autoSpaceDN w:val="0"/>
              <w:spacing w:line="320" w:lineRule="exact"/>
              <w:jc w:val="center"/>
              <w:textAlignment w:val="center"/>
              <w:rPr>
                <w:rFonts w:hint="eastAsia" w:ascii="黑体" w:hAnsi="黑体" w:eastAsia="黑体" w:cs="黑体"/>
                <w:color w:val="000000"/>
                <w:sz w:val="28"/>
                <w:szCs w:val="28"/>
              </w:rPr>
            </w:pP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二、部门（单位）收支情况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9800" w:type="dxa"/>
            <w:gridSpan w:val="18"/>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b/>
                <w:bCs/>
                <w:color w:val="000000"/>
                <w:sz w:val="24"/>
              </w:rPr>
              <w:t>年度收入情况（万元）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700" w:type="dxa"/>
            <w:gridSpan w:val="3"/>
            <w:vMerge w:val="restart"/>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机构名称</w:t>
            </w:r>
          </w:p>
        </w:tc>
        <w:tc>
          <w:tcPr>
            <w:tcW w:w="1080" w:type="dxa"/>
            <w:vMerge w:val="restart"/>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收入合计</w:t>
            </w:r>
          </w:p>
        </w:tc>
        <w:tc>
          <w:tcPr>
            <w:tcW w:w="7020" w:type="dxa"/>
            <w:gridSpan w:val="14"/>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1014" w:hRule="atLeast"/>
          <w:jc w:val="center"/>
        </w:trPr>
        <w:tc>
          <w:tcPr>
            <w:tcW w:w="1700" w:type="dxa"/>
            <w:gridSpan w:val="3"/>
            <w:vMerge w:val="continue"/>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上年结转</w:t>
            </w: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公共财</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政拨款</w:t>
            </w:r>
          </w:p>
        </w:tc>
        <w:tc>
          <w:tcPr>
            <w:tcW w:w="1705"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政府基金拨款</w:t>
            </w:r>
          </w:p>
        </w:tc>
        <w:tc>
          <w:tcPr>
            <w:tcW w:w="180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纳入专户管理的非税收入拨款</w:t>
            </w:r>
          </w:p>
        </w:tc>
        <w:tc>
          <w:tcPr>
            <w:tcW w:w="108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其他</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收入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772" w:hRule="atLeast"/>
          <w:jc w:val="center"/>
        </w:trPr>
        <w:tc>
          <w:tcPr>
            <w:tcW w:w="1700" w:type="dxa"/>
            <w:gridSpan w:val="3"/>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局机关及二级机构汇总</w:t>
            </w:r>
          </w:p>
        </w:tc>
        <w:tc>
          <w:tcPr>
            <w:tcW w:w="1080" w:type="dxa"/>
            <w:tcBorders>
              <w:right w:val="single" w:color="auto" w:sz="4" w:space="0"/>
            </w:tcBorders>
            <w:vAlign w:val="center"/>
          </w:tcPr>
          <w:p>
            <w:pPr>
              <w:autoSpaceDN w:val="0"/>
              <w:spacing w:line="320" w:lineRule="exact"/>
              <w:jc w:val="left"/>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936.74</w:t>
            </w:r>
          </w:p>
        </w:tc>
        <w:tc>
          <w:tcPr>
            <w:tcW w:w="1355" w:type="dxa"/>
            <w:gridSpan w:val="2"/>
            <w:tcBorders>
              <w:lef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lang w:val="en-US" w:eastAsia="zh-CN"/>
              </w:rPr>
            </w:pPr>
          </w:p>
        </w:tc>
        <w:tc>
          <w:tcPr>
            <w:tcW w:w="1080"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936.74</w:t>
            </w:r>
          </w:p>
        </w:tc>
        <w:tc>
          <w:tcPr>
            <w:tcW w:w="1705"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80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700" w:type="dxa"/>
            <w:gridSpan w:val="3"/>
            <w:vAlign w:val="center"/>
          </w:tcPr>
          <w:p>
            <w:pP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1、局机关</w:t>
            </w:r>
          </w:p>
        </w:tc>
        <w:tc>
          <w:tcPr>
            <w:tcW w:w="1080" w:type="dxa"/>
            <w:tcBorders>
              <w:right w:val="single" w:color="auto" w:sz="4" w:space="0"/>
            </w:tcBorders>
            <w:vAlign w:val="center"/>
          </w:tcPr>
          <w:p>
            <w:pPr>
              <w:autoSpaceDN w:val="0"/>
              <w:spacing w:line="320" w:lineRule="exact"/>
              <w:jc w:val="left"/>
              <w:textAlignment w:val="center"/>
              <w:rPr>
                <w:rFonts w:hint="default" w:ascii="仿宋_GB2312" w:hAnsi="仿宋_GB2312" w:eastAsia="仿宋_GB2312" w:cs="仿宋_GB2312"/>
                <w:color w:val="000000"/>
                <w:sz w:val="24"/>
                <w:lang w:val="en-US"/>
              </w:rPr>
            </w:pPr>
            <w:r>
              <w:rPr>
                <w:rFonts w:hint="eastAsia" w:ascii="仿宋_GB2312" w:hAnsi="仿宋_GB2312" w:eastAsia="仿宋_GB2312" w:cs="仿宋_GB2312"/>
                <w:color w:val="000000"/>
                <w:sz w:val="24"/>
                <w:lang w:val="en-US" w:eastAsia="zh-CN"/>
              </w:rPr>
              <w:t>936.74</w:t>
            </w:r>
          </w:p>
        </w:tc>
        <w:tc>
          <w:tcPr>
            <w:tcW w:w="1355" w:type="dxa"/>
            <w:gridSpan w:val="2"/>
            <w:tcBorders>
              <w:lef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936.74</w:t>
            </w:r>
          </w:p>
        </w:tc>
        <w:tc>
          <w:tcPr>
            <w:tcW w:w="1705"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80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47" w:hRule="atLeast"/>
          <w:jc w:val="center"/>
        </w:trPr>
        <w:tc>
          <w:tcPr>
            <w:tcW w:w="1700" w:type="dxa"/>
            <w:gridSpan w:val="3"/>
            <w:vAlign w:val="center"/>
          </w:tcPr>
          <w:p>
            <w:pP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2、二级机构1</w:t>
            </w:r>
          </w:p>
        </w:tc>
        <w:tc>
          <w:tcPr>
            <w:tcW w:w="1080" w:type="dxa"/>
            <w:tcBorders>
              <w:righ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705"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80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700" w:type="dxa"/>
            <w:gridSpan w:val="3"/>
            <w:vAlign w:val="center"/>
          </w:tcPr>
          <w:p>
            <w:pP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3、二级机构2</w:t>
            </w:r>
          </w:p>
        </w:tc>
        <w:tc>
          <w:tcPr>
            <w:tcW w:w="1080" w:type="dxa"/>
            <w:tcBorders>
              <w:righ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705" w:type="dxa"/>
            <w:gridSpan w:val="2"/>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c>
          <w:tcPr>
            <w:tcW w:w="180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9800" w:type="dxa"/>
            <w:gridSpan w:val="18"/>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b/>
                <w:bCs/>
                <w:color w:val="000000"/>
                <w:sz w:val="24"/>
              </w:rPr>
              <w:t>部门（单位）年度支出和结余情况（万元）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restart"/>
            <w:vAlign w:val="center"/>
          </w:tcPr>
          <w:p>
            <w:pPr>
              <w:snapToGrid w:val="0"/>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机构名称</w:t>
            </w:r>
          </w:p>
        </w:tc>
        <w:tc>
          <w:tcPr>
            <w:tcW w:w="1080" w:type="dxa"/>
            <w:vMerge w:val="restart"/>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支出合计</w:t>
            </w:r>
          </w:p>
        </w:tc>
        <w:tc>
          <w:tcPr>
            <w:tcW w:w="5675" w:type="dxa"/>
            <w:gridSpan w:val="9"/>
            <w:tcBorders>
              <w:left w:val="single" w:color="auto" w:sz="4" w:space="0"/>
              <w:bottom w:val="single" w:color="auto" w:sz="4" w:space="0"/>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其中：</w:t>
            </w:r>
          </w:p>
        </w:tc>
        <w:tc>
          <w:tcPr>
            <w:tcW w:w="1345" w:type="dxa"/>
            <w:gridSpan w:val="5"/>
            <w:tcBorders>
              <w:left w:val="single" w:color="auto" w:sz="4" w:space="0"/>
              <w:bottom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continue"/>
            <w:vAlign w:val="center"/>
          </w:tcPr>
          <w:p>
            <w:pPr>
              <w:spacing w:line="320" w:lineRule="exact"/>
              <w:jc w:val="center"/>
              <w:rPr>
                <w:rFonts w:hint="eastAsia" w:ascii="仿宋_GB2312" w:hAnsi="仿宋_GB2312" w:eastAsia="仿宋_GB2312" w:cs="仿宋_GB2312"/>
                <w:sz w:val="24"/>
              </w:rPr>
            </w:pPr>
          </w:p>
        </w:tc>
        <w:tc>
          <w:tcPr>
            <w:tcW w:w="1080" w:type="dxa"/>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vMerge w:val="restart"/>
            <w:tcBorders>
              <w:top w:val="single" w:color="auto" w:sz="4" w:space="0"/>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基本支出</w:t>
            </w:r>
          </w:p>
        </w:tc>
        <w:tc>
          <w:tcPr>
            <w:tcW w:w="3240" w:type="dxa"/>
            <w:gridSpan w:val="6"/>
            <w:tcBorders>
              <w:top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其中：</w:t>
            </w:r>
          </w:p>
        </w:tc>
        <w:tc>
          <w:tcPr>
            <w:tcW w:w="1080" w:type="dxa"/>
            <w:vMerge w:val="restart"/>
            <w:tcBorders>
              <w:top w:val="single" w:color="auto" w:sz="4" w:space="0"/>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项目支出</w:t>
            </w:r>
          </w:p>
        </w:tc>
        <w:tc>
          <w:tcPr>
            <w:tcW w:w="720" w:type="dxa"/>
            <w:gridSpan w:val="3"/>
            <w:vMerge w:val="restart"/>
            <w:tcBorders>
              <w:top w:val="single" w:color="auto" w:sz="4" w:space="0"/>
              <w:left w:val="single" w:color="auto" w:sz="4" w:space="0"/>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当年结余</w:t>
            </w:r>
          </w:p>
        </w:tc>
        <w:tc>
          <w:tcPr>
            <w:tcW w:w="625" w:type="dxa"/>
            <w:gridSpan w:val="2"/>
            <w:vMerge w:val="restart"/>
            <w:tcBorders>
              <w:top w:val="single" w:color="auto" w:sz="4" w:space="0"/>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累计结余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continue"/>
            <w:vAlign w:val="center"/>
          </w:tcPr>
          <w:p>
            <w:pPr>
              <w:spacing w:line="320" w:lineRule="exact"/>
              <w:jc w:val="center"/>
              <w:rPr>
                <w:rFonts w:hint="eastAsia" w:ascii="仿宋_GB2312" w:hAnsi="仿宋_GB2312" w:eastAsia="仿宋_GB2312" w:cs="仿宋_GB2312"/>
                <w:sz w:val="24"/>
              </w:rPr>
            </w:pPr>
          </w:p>
        </w:tc>
        <w:tc>
          <w:tcPr>
            <w:tcW w:w="1080" w:type="dxa"/>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vMerge w:val="continue"/>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人员支出</w:t>
            </w: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公用支出</w:t>
            </w:r>
          </w:p>
        </w:tc>
        <w:tc>
          <w:tcPr>
            <w:tcW w:w="1080" w:type="dxa"/>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720" w:type="dxa"/>
            <w:gridSpan w:val="3"/>
            <w:vMerge w:val="continue"/>
            <w:tcBorders>
              <w:left w:val="single" w:color="auto" w:sz="4" w:space="0"/>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625" w:type="dxa"/>
            <w:gridSpan w:val="2"/>
            <w:vMerge w:val="continue"/>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877"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color w:val="000000"/>
                <w:sz w:val="24"/>
              </w:rPr>
              <w:t>局机关及二级机构汇总</w:t>
            </w:r>
          </w:p>
        </w:tc>
        <w:tc>
          <w:tcPr>
            <w:tcW w:w="1080" w:type="dxa"/>
            <w:tcBorders>
              <w:righ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936.74</w:t>
            </w:r>
          </w:p>
        </w:tc>
        <w:tc>
          <w:tcPr>
            <w:tcW w:w="1355" w:type="dxa"/>
            <w:gridSpan w:val="2"/>
            <w:tcBorders>
              <w:lef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757.40</w:t>
            </w:r>
          </w:p>
        </w:tc>
        <w:tc>
          <w:tcPr>
            <w:tcW w:w="1080" w:type="dxa"/>
            <w:gridSpan w:val="2"/>
            <w:vAlign w:val="center"/>
          </w:tcPr>
          <w:p>
            <w:pPr>
              <w:autoSpaceDN w:val="0"/>
              <w:spacing w:line="32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410.61</w:t>
            </w:r>
          </w:p>
        </w:tc>
        <w:tc>
          <w:tcPr>
            <w:tcW w:w="2160" w:type="dxa"/>
            <w:gridSpan w:val="4"/>
            <w:vAlign w:val="center"/>
          </w:tcPr>
          <w:p>
            <w:pPr>
              <w:autoSpaceDN w:val="0"/>
              <w:spacing w:line="32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346.79</w:t>
            </w:r>
          </w:p>
        </w:tc>
        <w:tc>
          <w:tcPr>
            <w:tcW w:w="1080" w:type="dxa"/>
            <w:vAlign w:val="center"/>
          </w:tcPr>
          <w:p>
            <w:pPr>
              <w:autoSpaceDN w:val="0"/>
              <w:spacing w:line="32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179.34</w:t>
            </w:r>
          </w:p>
        </w:tc>
        <w:tc>
          <w:tcPr>
            <w:tcW w:w="720" w:type="dxa"/>
            <w:gridSpan w:val="3"/>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62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color w:val="000000"/>
                <w:sz w:val="24"/>
              </w:rPr>
            </w:pPr>
            <w:r>
              <w:rPr>
                <w:rFonts w:hint="eastAsia" w:ascii="仿宋_GB2312" w:hAnsi="仿宋_GB2312" w:eastAsia="仿宋_GB2312" w:cs="仿宋_GB2312"/>
                <w:sz w:val="24"/>
              </w:rPr>
              <w:t>1、局机关</w:t>
            </w:r>
          </w:p>
        </w:tc>
        <w:tc>
          <w:tcPr>
            <w:tcW w:w="1080" w:type="dxa"/>
            <w:tcBorders>
              <w:right w:val="single" w:color="auto" w:sz="4" w:space="0"/>
            </w:tcBorders>
            <w:vAlign w:val="center"/>
          </w:tcPr>
          <w:p>
            <w:pPr>
              <w:autoSpaceDN w:val="0"/>
              <w:spacing w:line="320" w:lineRule="exact"/>
              <w:jc w:val="left"/>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936.74</w:t>
            </w: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757.40</w:t>
            </w: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410.61</w:t>
            </w: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346.79</w:t>
            </w:r>
          </w:p>
        </w:tc>
        <w:tc>
          <w:tcPr>
            <w:tcW w:w="1080" w:type="dxa"/>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179.34</w:t>
            </w:r>
          </w:p>
        </w:tc>
        <w:tc>
          <w:tcPr>
            <w:tcW w:w="720" w:type="dxa"/>
            <w:gridSpan w:val="3"/>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62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color w:val="000000"/>
                <w:sz w:val="24"/>
              </w:rPr>
            </w:pPr>
            <w:r>
              <w:rPr>
                <w:rFonts w:hint="eastAsia" w:ascii="仿宋_GB2312" w:hAnsi="仿宋_GB2312" w:eastAsia="仿宋_GB2312" w:cs="仿宋_GB2312"/>
                <w:sz w:val="24"/>
              </w:rPr>
              <w:t>2、二级机构1</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720" w:type="dxa"/>
            <w:gridSpan w:val="3"/>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62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color w:val="000000"/>
                <w:sz w:val="24"/>
              </w:rPr>
            </w:pPr>
            <w:r>
              <w:rPr>
                <w:rFonts w:hint="eastAsia" w:ascii="仿宋_GB2312" w:hAnsi="仿宋_GB2312" w:eastAsia="仿宋_GB2312" w:cs="仿宋_GB2312"/>
                <w:sz w:val="24"/>
              </w:rPr>
              <w:t>3、二级机构2</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720" w:type="dxa"/>
            <w:gridSpan w:val="3"/>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62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restart"/>
            <w:vAlign w:val="center"/>
          </w:tcPr>
          <w:p>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机构名称</w:t>
            </w:r>
          </w:p>
        </w:tc>
        <w:tc>
          <w:tcPr>
            <w:tcW w:w="1080" w:type="dxa"/>
            <w:vMerge w:val="restart"/>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三公经费</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合计</w:t>
            </w:r>
          </w:p>
        </w:tc>
        <w:tc>
          <w:tcPr>
            <w:tcW w:w="7020" w:type="dxa"/>
            <w:gridSpan w:val="14"/>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continue"/>
            <w:vAlign w:val="center"/>
          </w:tcPr>
          <w:p>
            <w:pPr>
              <w:spacing w:line="320" w:lineRule="exact"/>
              <w:jc w:val="center"/>
              <w:rPr>
                <w:rFonts w:hint="eastAsia" w:ascii="仿宋_GB2312" w:hAnsi="仿宋_GB2312" w:eastAsia="仿宋_GB2312" w:cs="仿宋_GB2312"/>
                <w:sz w:val="24"/>
              </w:rPr>
            </w:pPr>
          </w:p>
        </w:tc>
        <w:tc>
          <w:tcPr>
            <w:tcW w:w="1080" w:type="dxa"/>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公务接待费</w:t>
            </w: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公务用车运维费</w:t>
            </w: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公务用车购置费</w:t>
            </w:r>
          </w:p>
        </w:tc>
        <w:tc>
          <w:tcPr>
            <w:tcW w:w="2425" w:type="dxa"/>
            <w:gridSpan w:val="6"/>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因公出国费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858"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color w:val="000000"/>
                <w:sz w:val="24"/>
              </w:rPr>
              <w:t>局机关及二级机构汇总</w:t>
            </w:r>
          </w:p>
        </w:tc>
        <w:tc>
          <w:tcPr>
            <w:tcW w:w="1080" w:type="dxa"/>
            <w:tcBorders>
              <w:righ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0.41</w:t>
            </w:r>
          </w:p>
        </w:tc>
        <w:tc>
          <w:tcPr>
            <w:tcW w:w="1355" w:type="dxa"/>
            <w:gridSpan w:val="2"/>
            <w:tcBorders>
              <w:lef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0.41</w:t>
            </w: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0</w:t>
            </w: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0</w:t>
            </w:r>
          </w:p>
        </w:tc>
        <w:tc>
          <w:tcPr>
            <w:tcW w:w="2425" w:type="dxa"/>
            <w:gridSpan w:val="6"/>
            <w:vAlign w:val="center"/>
          </w:tcPr>
          <w:p>
            <w:pPr>
              <w:autoSpaceDN w:val="0"/>
              <w:spacing w:line="32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1、局机关</w:t>
            </w:r>
          </w:p>
        </w:tc>
        <w:tc>
          <w:tcPr>
            <w:tcW w:w="1080" w:type="dxa"/>
            <w:tcBorders>
              <w:righ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0.41</w:t>
            </w:r>
          </w:p>
        </w:tc>
        <w:tc>
          <w:tcPr>
            <w:tcW w:w="1355" w:type="dxa"/>
            <w:gridSpan w:val="2"/>
            <w:tcBorders>
              <w:lef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0.41</w:t>
            </w: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0</w:t>
            </w: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0</w:t>
            </w:r>
          </w:p>
        </w:tc>
        <w:tc>
          <w:tcPr>
            <w:tcW w:w="2425" w:type="dxa"/>
            <w:gridSpan w:val="6"/>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2、二级机构1</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425" w:type="dxa"/>
            <w:gridSpan w:val="6"/>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3、二级机构2</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355" w:type="dxa"/>
            <w:gridSpan w:val="2"/>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1080"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160"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425" w:type="dxa"/>
            <w:gridSpan w:val="6"/>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restart"/>
            <w:vAlign w:val="center"/>
          </w:tcPr>
          <w:p>
            <w:pPr>
              <w:spacing w:line="32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机构名称</w:t>
            </w:r>
          </w:p>
        </w:tc>
        <w:tc>
          <w:tcPr>
            <w:tcW w:w="1080" w:type="dxa"/>
            <w:vMerge w:val="restart"/>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固定资产</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合计</w:t>
            </w:r>
          </w:p>
        </w:tc>
        <w:tc>
          <w:tcPr>
            <w:tcW w:w="6079" w:type="dxa"/>
            <w:gridSpan w:val="11"/>
            <w:tcBorders>
              <w:left w:val="single" w:color="auto" w:sz="4" w:space="0"/>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其中：</w:t>
            </w:r>
          </w:p>
        </w:tc>
        <w:tc>
          <w:tcPr>
            <w:tcW w:w="941" w:type="dxa"/>
            <w:gridSpan w:val="3"/>
            <w:vMerge w:val="restart"/>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Merge w:val="continue"/>
            <w:vAlign w:val="center"/>
          </w:tcPr>
          <w:p>
            <w:pPr>
              <w:spacing w:line="320" w:lineRule="exact"/>
              <w:jc w:val="center"/>
              <w:rPr>
                <w:rFonts w:hint="eastAsia" w:ascii="仿宋_GB2312" w:hAnsi="仿宋_GB2312" w:eastAsia="仿宋_GB2312" w:cs="仿宋_GB2312"/>
                <w:sz w:val="24"/>
              </w:rPr>
            </w:pPr>
          </w:p>
        </w:tc>
        <w:tc>
          <w:tcPr>
            <w:tcW w:w="1080" w:type="dxa"/>
            <w:vMerge w:val="continue"/>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435" w:type="dxa"/>
            <w:gridSpan w:val="4"/>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在用固定资产</w:t>
            </w:r>
          </w:p>
        </w:tc>
        <w:tc>
          <w:tcPr>
            <w:tcW w:w="3644" w:type="dxa"/>
            <w:gridSpan w:val="7"/>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出租固定资产</w:t>
            </w:r>
          </w:p>
        </w:tc>
        <w:tc>
          <w:tcPr>
            <w:tcW w:w="941" w:type="dxa"/>
            <w:gridSpan w:val="3"/>
            <w:vMerge w:val="continue"/>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855"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color w:val="000000"/>
                <w:sz w:val="24"/>
              </w:rPr>
              <w:t>局机关及二级机构汇总</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35.94万元</w:t>
            </w:r>
          </w:p>
        </w:tc>
        <w:tc>
          <w:tcPr>
            <w:tcW w:w="2435" w:type="dxa"/>
            <w:gridSpan w:val="4"/>
            <w:tcBorders>
              <w:lef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sz w:val="24"/>
                <w:lang w:val="en-US"/>
              </w:rPr>
            </w:pPr>
            <w:r>
              <w:rPr>
                <w:rFonts w:hint="eastAsia" w:ascii="仿宋_GB2312" w:hAnsi="仿宋_GB2312" w:eastAsia="仿宋_GB2312" w:cs="仿宋_GB2312"/>
                <w:color w:val="000000"/>
                <w:sz w:val="24"/>
                <w:lang w:val="en-US" w:eastAsia="zh-CN"/>
              </w:rPr>
              <w:t>35.94万元</w:t>
            </w:r>
          </w:p>
        </w:tc>
        <w:tc>
          <w:tcPr>
            <w:tcW w:w="3644" w:type="dxa"/>
            <w:gridSpan w:val="7"/>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941" w:type="dxa"/>
            <w:gridSpan w:val="3"/>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1、局机关</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35.94万元</w:t>
            </w:r>
          </w:p>
        </w:tc>
        <w:tc>
          <w:tcPr>
            <w:tcW w:w="2435" w:type="dxa"/>
            <w:gridSpan w:val="4"/>
            <w:tcBorders>
              <w:left w:val="single" w:color="auto" w:sz="4" w:space="0"/>
            </w:tcBorders>
            <w:vAlign w:val="center"/>
          </w:tcPr>
          <w:p>
            <w:pPr>
              <w:autoSpaceDN w:val="0"/>
              <w:spacing w:line="320" w:lineRule="exact"/>
              <w:jc w:val="center"/>
              <w:textAlignment w:val="center"/>
              <w:rPr>
                <w:rFonts w:hint="default" w:ascii="仿宋_GB2312" w:hAnsi="仿宋_GB2312" w:eastAsia="仿宋_GB2312" w:cs="仿宋_GB2312"/>
                <w:color w:val="000000"/>
                <w:sz w:val="24"/>
                <w:lang w:val="en-US"/>
              </w:rPr>
            </w:pPr>
            <w:r>
              <w:rPr>
                <w:rFonts w:hint="eastAsia" w:ascii="仿宋_GB2312" w:hAnsi="仿宋_GB2312" w:eastAsia="仿宋_GB2312" w:cs="仿宋_GB2312"/>
                <w:color w:val="000000"/>
                <w:sz w:val="24"/>
                <w:lang w:val="en-US" w:eastAsia="zh-CN"/>
              </w:rPr>
              <w:t>35.94万元</w:t>
            </w:r>
          </w:p>
        </w:tc>
        <w:tc>
          <w:tcPr>
            <w:tcW w:w="3644" w:type="dxa"/>
            <w:gridSpan w:val="7"/>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941" w:type="dxa"/>
            <w:gridSpan w:val="3"/>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2、二级机构1</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435" w:type="dxa"/>
            <w:gridSpan w:val="4"/>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3644" w:type="dxa"/>
            <w:gridSpan w:val="7"/>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941" w:type="dxa"/>
            <w:gridSpan w:val="3"/>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24" w:hRule="atLeast"/>
          <w:jc w:val="center"/>
        </w:trPr>
        <w:tc>
          <w:tcPr>
            <w:tcW w:w="1700" w:type="dxa"/>
            <w:gridSpan w:val="3"/>
            <w:vAlign w:val="center"/>
          </w:tcPr>
          <w:p>
            <w:pPr>
              <w:spacing w:line="320" w:lineRule="exact"/>
              <w:jc w:val="left"/>
              <w:rPr>
                <w:rFonts w:hint="eastAsia" w:ascii="仿宋_GB2312" w:hAnsi="仿宋_GB2312" w:eastAsia="仿宋_GB2312" w:cs="仿宋_GB2312"/>
                <w:sz w:val="24"/>
              </w:rPr>
            </w:pPr>
            <w:r>
              <w:rPr>
                <w:rFonts w:hint="eastAsia" w:ascii="仿宋_GB2312" w:hAnsi="仿宋_GB2312" w:eastAsia="仿宋_GB2312" w:cs="仿宋_GB2312"/>
                <w:sz w:val="24"/>
              </w:rPr>
              <w:t>3、二级机构2</w:t>
            </w:r>
          </w:p>
        </w:tc>
        <w:tc>
          <w:tcPr>
            <w:tcW w:w="1080" w:type="dxa"/>
            <w:tcBorders>
              <w:righ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2435" w:type="dxa"/>
            <w:gridSpan w:val="4"/>
            <w:tcBorders>
              <w:left w:val="single" w:color="auto" w:sz="4" w:space="0"/>
            </w:tcBorders>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3644" w:type="dxa"/>
            <w:gridSpan w:val="7"/>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c>
          <w:tcPr>
            <w:tcW w:w="941" w:type="dxa"/>
            <w:gridSpan w:val="3"/>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9800" w:type="dxa"/>
            <w:gridSpan w:val="18"/>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三、部门（单位）整体支出绩效自评情况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441" w:type="dxa"/>
            <w:vMerge w:val="restart"/>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整体支出绩效定性目标及实施计划完成情况</w:t>
            </w:r>
          </w:p>
        </w:tc>
        <w:tc>
          <w:tcPr>
            <w:tcW w:w="3774" w:type="dxa"/>
            <w:gridSpan w:val="7"/>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预期目标</w:t>
            </w:r>
          </w:p>
        </w:tc>
        <w:tc>
          <w:tcPr>
            <w:tcW w:w="4585" w:type="dxa"/>
            <w:gridSpan w:val="10"/>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实际完成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1172"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3774" w:type="dxa"/>
            <w:gridSpan w:val="7"/>
            <w:vAlign w:val="center"/>
          </w:tcPr>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任务1：坚持大规划优化队伍</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任务2：坚持大考核激励担当。</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任务3：</w:t>
            </w:r>
            <w:r>
              <w:rPr>
                <w:rFonts w:hint="eastAsia" w:ascii="华文仿宋" w:hAnsi="华文仿宋" w:eastAsia="华文仿宋" w:cs="华文仿宋"/>
                <w:color w:val="000000"/>
                <w:sz w:val="24"/>
                <w:lang w:eastAsia="zh-CN"/>
              </w:rPr>
              <w:t>坚持大党建引领发展</w:t>
            </w:r>
            <w:r>
              <w:rPr>
                <w:rFonts w:hint="eastAsia" w:ascii="华文仿宋" w:hAnsi="华文仿宋" w:eastAsia="华文仿宋" w:cs="华文仿宋"/>
                <w:color w:val="000000"/>
                <w:sz w:val="24"/>
              </w:rPr>
              <w:t>。</w:t>
            </w:r>
          </w:p>
          <w:p>
            <w:pPr>
              <w:autoSpaceDN w:val="0"/>
              <w:spacing w:line="400" w:lineRule="exact"/>
              <w:jc w:val="left"/>
              <w:textAlignment w:val="center"/>
              <w:rPr>
                <w:rFonts w:hint="eastAsia" w:ascii="华文仿宋" w:hAnsi="华文仿宋" w:eastAsia="华文仿宋" w:cs="华文仿宋"/>
                <w:color w:val="000000"/>
                <w:sz w:val="24"/>
              </w:rPr>
            </w:pPr>
            <w:r>
              <w:rPr>
                <w:rFonts w:hint="eastAsia" w:ascii="华文仿宋" w:hAnsi="华文仿宋" w:eastAsia="华文仿宋" w:cs="华文仿宋"/>
                <w:color w:val="000000"/>
                <w:sz w:val="24"/>
              </w:rPr>
              <w:t>任务4: 坚持大人才赋能引智。</w:t>
            </w:r>
          </w:p>
          <w:p>
            <w:pPr>
              <w:autoSpaceDN w:val="0"/>
              <w:spacing w:line="320" w:lineRule="exact"/>
              <w:jc w:val="left"/>
              <w:textAlignment w:val="center"/>
              <w:rPr>
                <w:rFonts w:hint="eastAsia" w:ascii="仿宋_GB2312" w:hAnsi="仿宋_GB2312" w:eastAsia="仿宋_GB2312" w:cs="仿宋_GB2312"/>
                <w:color w:val="000000"/>
                <w:sz w:val="24"/>
              </w:rPr>
            </w:pPr>
          </w:p>
        </w:tc>
        <w:tc>
          <w:tcPr>
            <w:tcW w:w="4585" w:type="dxa"/>
            <w:gridSpan w:val="10"/>
            <w:vAlign w:val="center"/>
          </w:tcPr>
          <w:p>
            <w:pPr>
              <w:autoSpaceDN w:val="0"/>
              <w:spacing w:line="320" w:lineRule="exact"/>
              <w:jc w:val="center"/>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eastAsia="zh-CN"/>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441" w:type="dxa"/>
            <w:vMerge w:val="restart"/>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整体支出</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绩效定量目标及实施计划完成情况</w:t>
            </w:r>
          </w:p>
        </w:tc>
        <w:tc>
          <w:tcPr>
            <w:tcW w:w="2966" w:type="dxa"/>
            <w:gridSpan w:val="6"/>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评价内容</w:t>
            </w:r>
          </w:p>
        </w:tc>
        <w:tc>
          <w:tcPr>
            <w:tcW w:w="2709" w:type="dxa"/>
            <w:gridSpan w:val="4"/>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绩效目标</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1332"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restart"/>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产出目标</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（部门工作实绩，包含上级部门和市委市政府布置的重点工作、实事任务等，根据部门实际进行调整细化）</w:t>
            </w:r>
          </w:p>
        </w:tc>
        <w:tc>
          <w:tcPr>
            <w:tcW w:w="1417" w:type="dxa"/>
            <w:gridSpan w:val="2"/>
            <w:vAlign w:val="center"/>
          </w:tcPr>
          <w:p>
            <w:pPr>
              <w:autoSpaceDN w:val="0"/>
              <w:spacing w:line="4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质量指标</w:t>
            </w:r>
          </w:p>
          <w:p>
            <w:pPr>
              <w:autoSpaceDN w:val="0"/>
              <w:spacing w:line="400" w:lineRule="exact"/>
              <w:jc w:val="center"/>
              <w:textAlignment w:val="center"/>
              <w:rPr>
                <w:rFonts w:hint="eastAsia" w:ascii="仿宋_GB2312" w:hAnsi="仿宋_GB2312" w:eastAsia="仿宋_GB2312" w:cs="仿宋_GB2312"/>
                <w:sz w:val="24"/>
              </w:rPr>
            </w:pPr>
          </w:p>
        </w:tc>
        <w:tc>
          <w:tcPr>
            <w:tcW w:w="2709" w:type="dxa"/>
            <w:gridSpan w:val="4"/>
            <w:vAlign w:val="center"/>
          </w:tcPr>
          <w:p>
            <w:pPr>
              <w:autoSpaceDN w:val="0"/>
              <w:spacing w:line="4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w:t>
            </w:r>
            <w:r>
              <w:rPr>
                <w:rFonts w:hint="eastAsia" w:ascii="华文仿宋" w:hAnsi="华文仿宋" w:eastAsia="华文仿宋" w:cs="华文仿宋"/>
                <w:color w:val="000000"/>
                <w:sz w:val="24"/>
                <w:lang w:val="en-US" w:eastAsia="zh-CN"/>
              </w:rPr>
              <w:t>不断加强党的理论武装。</w:t>
            </w:r>
          </w:p>
        </w:tc>
        <w:tc>
          <w:tcPr>
            <w:tcW w:w="2684" w:type="dxa"/>
            <w:gridSpan w:val="7"/>
            <w:vMerge w:val="restart"/>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54"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Merge w:val="restart"/>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数量指标</w:t>
            </w:r>
          </w:p>
        </w:tc>
        <w:tc>
          <w:tcPr>
            <w:tcW w:w="2709"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w:t>
            </w:r>
            <w:r>
              <w:rPr>
                <w:rFonts w:hint="eastAsia" w:ascii="华文仿宋" w:hAnsi="华文仿宋" w:eastAsia="华文仿宋" w:cs="华文仿宋"/>
                <w:color w:val="000000"/>
                <w:sz w:val="24"/>
                <w:lang w:val="en-US" w:eastAsia="zh-CN"/>
              </w:rPr>
              <w:t>举办各类培训班55期</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61"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Merge w:val="continue"/>
            <w:vAlign w:val="center"/>
          </w:tcPr>
          <w:p>
            <w:pPr>
              <w:autoSpaceDN w:val="0"/>
              <w:spacing w:line="320" w:lineRule="exact"/>
              <w:jc w:val="center"/>
              <w:textAlignment w:val="center"/>
              <w:rPr>
                <w:rFonts w:hint="eastAsia" w:ascii="仿宋_GB2312" w:hAnsi="仿宋_GB2312" w:eastAsia="仿宋_GB2312" w:cs="仿宋_GB2312"/>
                <w:sz w:val="24"/>
              </w:rPr>
            </w:pPr>
          </w:p>
        </w:tc>
        <w:tc>
          <w:tcPr>
            <w:tcW w:w="2709" w:type="dxa"/>
            <w:gridSpan w:val="4"/>
            <w:vAlign w:val="center"/>
          </w:tcPr>
          <w:p>
            <w:pPr>
              <w:autoSpaceDN w:val="0"/>
              <w:spacing w:line="4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指标2：</w:t>
            </w:r>
            <w:r>
              <w:rPr>
                <w:rFonts w:hint="eastAsia" w:ascii="华文仿宋" w:hAnsi="华文仿宋" w:eastAsia="华文仿宋" w:cs="华文仿宋"/>
                <w:color w:val="000000"/>
                <w:sz w:val="24"/>
                <w:lang w:val="en-US" w:eastAsia="zh-CN"/>
              </w:rPr>
              <w:t>组织150余名科级干部到疫情防控、自建房排查、重点工程征拆等中心工作</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61"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Merge w:val="continue"/>
            <w:vAlign w:val="center"/>
          </w:tcPr>
          <w:p>
            <w:pPr>
              <w:autoSpaceDN w:val="0"/>
              <w:spacing w:line="320" w:lineRule="exact"/>
              <w:jc w:val="center"/>
              <w:textAlignment w:val="center"/>
              <w:rPr>
                <w:rFonts w:hint="eastAsia" w:ascii="仿宋_GB2312" w:hAnsi="仿宋_GB2312" w:eastAsia="仿宋_GB2312" w:cs="仿宋_GB2312"/>
                <w:sz w:val="24"/>
              </w:rPr>
            </w:pPr>
          </w:p>
        </w:tc>
        <w:tc>
          <w:tcPr>
            <w:tcW w:w="2709" w:type="dxa"/>
            <w:gridSpan w:val="4"/>
            <w:vAlign w:val="center"/>
          </w:tcPr>
          <w:p>
            <w:pPr>
              <w:autoSpaceDN w:val="0"/>
              <w:spacing w:line="400" w:lineRule="exact"/>
              <w:jc w:val="left"/>
              <w:textAlignment w:val="center"/>
              <w:rPr>
                <w:rFonts w:hint="eastAsia" w:ascii="仿宋_GB2312" w:hAnsi="仿宋_GB2312" w:eastAsia="仿宋_GB2312" w:cs="仿宋_GB2312"/>
                <w:color w:val="000000"/>
                <w:sz w:val="24"/>
              </w:rPr>
            </w:pPr>
            <w:r>
              <w:rPr>
                <w:rFonts w:hint="eastAsia" w:ascii="仿宋_GB2312" w:hAnsi="仿宋" w:eastAsia="仿宋_GB2312" w:cs="仿宋_GB2312"/>
                <w:color w:val="000000"/>
                <w:sz w:val="24"/>
              </w:rPr>
              <w:t>指标3：</w:t>
            </w:r>
            <w:r>
              <w:rPr>
                <w:rFonts w:hint="eastAsia" w:ascii="华文仿宋" w:hAnsi="华文仿宋" w:eastAsia="华文仿宋" w:cs="华文仿宋"/>
                <w:color w:val="000000"/>
                <w:sz w:val="24"/>
              </w:rPr>
              <w:t>“一企一策”研判组建形式，非公企业、社会组织党组织覆盖率</w:t>
            </w:r>
            <w:r>
              <w:rPr>
                <w:rFonts w:hint="eastAsia" w:ascii="华文仿宋" w:hAnsi="华文仿宋" w:eastAsia="华文仿宋" w:cs="华文仿宋"/>
                <w:color w:val="000000"/>
                <w:sz w:val="24"/>
                <w:lang w:val="en-US" w:eastAsia="zh-CN"/>
              </w:rPr>
              <w:t>80%以上</w:t>
            </w:r>
            <w:r>
              <w:rPr>
                <w:rFonts w:hint="eastAsia" w:ascii="华文仿宋" w:hAnsi="华文仿宋" w:eastAsia="华文仿宋" w:cs="华文仿宋"/>
                <w:color w:val="000000"/>
                <w:sz w:val="24"/>
              </w:rPr>
              <w:t>。</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1112"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时效指标</w:t>
            </w:r>
          </w:p>
        </w:tc>
        <w:tc>
          <w:tcPr>
            <w:tcW w:w="2709"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rPr>
              <w:t>指标1：全区组织工作紧扣四个“大格局”，通过选好干部、配强班子、建强组织、盘活人才，不断优化组织资源配置</w:t>
            </w:r>
            <w:r>
              <w:rPr>
                <w:rFonts w:hint="eastAsia" w:ascii="仿宋_GB2312" w:hAnsi="仿宋_GB2312" w:eastAsia="仿宋_GB2312" w:cs="仿宋_GB2312"/>
                <w:color w:val="000000"/>
                <w:sz w:val="24"/>
                <w:lang w:eastAsia="zh-CN"/>
              </w:rPr>
              <w:t>。</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54"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restart"/>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效益目标</w:t>
            </w:r>
          </w:p>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（预期实现的效益）</w:t>
            </w:r>
          </w:p>
        </w:tc>
        <w:tc>
          <w:tcPr>
            <w:tcW w:w="1417"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社会效益</w:t>
            </w:r>
          </w:p>
        </w:tc>
        <w:tc>
          <w:tcPr>
            <w:tcW w:w="2709"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w:t>
            </w:r>
            <w:r>
              <w:rPr>
                <w:rFonts w:hint="eastAsia" w:ascii="仿宋_GB2312" w:hAnsi="仿宋_GB2312" w:eastAsia="仿宋_GB2312" w:cs="仿宋_GB2312"/>
                <w:color w:val="000000"/>
                <w:sz w:val="24"/>
                <w:lang w:val="en-US" w:eastAsia="zh-CN"/>
              </w:rPr>
              <w:t>为全力打造中部地区最大石化产业基地提供了坚强的组织保障。</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54"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经济效益</w:t>
            </w:r>
          </w:p>
        </w:tc>
        <w:tc>
          <w:tcPr>
            <w:tcW w:w="2709"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指标1：筑巢聚才，建设高水平人才高地。</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54"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生态效益</w:t>
            </w:r>
          </w:p>
        </w:tc>
        <w:tc>
          <w:tcPr>
            <w:tcW w:w="2709"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指标1：创造良好的社会发展环境，促进经济发展</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454" w:hRule="atLeast"/>
          <w:jc w:val="center"/>
        </w:trPr>
        <w:tc>
          <w:tcPr>
            <w:tcW w:w="1441" w:type="dxa"/>
            <w:vMerge w:val="continue"/>
            <w:vAlign w:val="center"/>
          </w:tcPr>
          <w:p>
            <w:pPr>
              <w:spacing w:line="320" w:lineRule="exact"/>
              <w:rPr>
                <w:rFonts w:hint="eastAsia" w:ascii="仿宋_GB2312" w:hAnsi="仿宋_GB2312" w:eastAsia="仿宋_GB2312" w:cs="仿宋_GB2312"/>
                <w:sz w:val="24"/>
              </w:rPr>
            </w:pPr>
          </w:p>
        </w:tc>
        <w:tc>
          <w:tcPr>
            <w:tcW w:w="1549" w:type="dxa"/>
            <w:gridSpan w:val="4"/>
            <w:vMerge w:val="continue"/>
            <w:vAlign w:val="center"/>
          </w:tcPr>
          <w:p>
            <w:pPr>
              <w:autoSpaceDN w:val="0"/>
              <w:spacing w:line="320" w:lineRule="exact"/>
              <w:rPr>
                <w:rFonts w:hint="eastAsia" w:ascii="仿宋_GB2312" w:hAnsi="仿宋_GB2312" w:eastAsia="仿宋_GB2312" w:cs="仿宋_GB2312"/>
                <w:sz w:val="24"/>
              </w:rPr>
            </w:pPr>
          </w:p>
        </w:tc>
        <w:tc>
          <w:tcPr>
            <w:tcW w:w="1417"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社会公众或服务对象满意度</w:t>
            </w:r>
          </w:p>
        </w:tc>
        <w:tc>
          <w:tcPr>
            <w:tcW w:w="2709" w:type="dxa"/>
            <w:gridSpan w:val="4"/>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指标1：社会公众比较满意</w:t>
            </w:r>
          </w:p>
        </w:tc>
        <w:tc>
          <w:tcPr>
            <w:tcW w:w="2684" w:type="dxa"/>
            <w:gridSpan w:val="7"/>
            <w:vAlign w:val="center"/>
          </w:tcPr>
          <w:p>
            <w:pPr>
              <w:autoSpaceDN w:val="0"/>
              <w:spacing w:line="320" w:lineRule="exact"/>
              <w:jc w:val="center"/>
              <w:textAlignment w:val="center"/>
              <w:rPr>
                <w:rFonts w:hint="eastAsia" w:ascii="仿宋_GB2312" w:hAnsi="仿宋_GB2312" w:eastAsia="仿宋_GB2312" w:cs="仿宋_GB2312"/>
                <w:b/>
                <w:color w:val="000000"/>
                <w:sz w:val="24"/>
              </w:rPr>
            </w:pPr>
            <w:r>
              <w:rPr>
                <w:rFonts w:hint="eastAsia" w:ascii="仿宋_GB2312" w:hAnsi="仿宋_GB2312" w:eastAsia="仿宋_GB2312" w:cs="仿宋_GB2312"/>
                <w:b/>
                <w:color w:val="000000"/>
                <w:sz w:val="24"/>
              </w:rPr>
              <w:t>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2990" w:type="dxa"/>
            <w:gridSpan w:val="5"/>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绩效自评综合得分</w:t>
            </w:r>
          </w:p>
        </w:tc>
        <w:tc>
          <w:tcPr>
            <w:tcW w:w="6810" w:type="dxa"/>
            <w:gridSpan w:val="13"/>
            <w:vAlign w:val="center"/>
          </w:tcPr>
          <w:p>
            <w:pPr>
              <w:autoSpaceDN w:val="0"/>
              <w:spacing w:line="32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2990" w:type="dxa"/>
            <w:gridSpan w:val="5"/>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评价等次</w:t>
            </w:r>
          </w:p>
        </w:tc>
        <w:tc>
          <w:tcPr>
            <w:tcW w:w="6810" w:type="dxa"/>
            <w:gridSpan w:val="13"/>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80" w:hRule="atLeast"/>
          <w:jc w:val="center"/>
        </w:trPr>
        <w:tc>
          <w:tcPr>
            <w:tcW w:w="9800" w:type="dxa"/>
            <w:gridSpan w:val="18"/>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567" w:hRule="atLeast"/>
          <w:jc w:val="center"/>
        </w:trPr>
        <w:tc>
          <w:tcPr>
            <w:tcW w:w="1654" w:type="dxa"/>
            <w:gridSpan w:val="2"/>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gridSpan w:val="6"/>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gridSpan w:val="9"/>
            <w:vAlign w:val="center"/>
          </w:tcPr>
          <w:p>
            <w:pPr>
              <w:autoSpaceDN w:val="0"/>
              <w:spacing w:line="32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80" w:hRule="atLeast"/>
          <w:jc w:val="center"/>
        </w:trPr>
        <w:tc>
          <w:tcPr>
            <w:tcW w:w="1654" w:type="dxa"/>
            <w:gridSpan w:val="2"/>
            <w:vAlign w:val="center"/>
          </w:tcPr>
          <w:p>
            <w:pPr>
              <w:autoSpaceDN w:val="0"/>
              <w:spacing w:line="400" w:lineRule="exact"/>
              <w:jc w:val="center"/>
              <w:textAlignment w:val="center"/>
              <w:rPr>
                <w:rFonts w:hint="default" w:ascii="仿宋_GB2312" w:hAnsi="仿宋_GB2312" w:eastAsia="仿宋_GB2312" w:cs="仿宋_GB2312"/>
                <w:color w:val="000000"/>
                <w:sz w:val="24"/>
                <w:lang w:val="en-US"/>
              </w:rPr>
            </w:pPr>
            <w:r>
              <w:rPr>
                <w:rFonts w:hint="eastAsia" w:ascii="仿宋_GB2312" w:hAnsi="仿宋_GB2312" w:eastAsia="仿宋_GB2312" w:cs="仿宋_GB2312"/>
                <w:color w:val="000000"/>
                <w:sz w:val="24"/>
                <w:lang w:val="en-US" w:eastAsia="zh-CN"/>
              </w:rPr>
              <w:t>吴学文</w:t>
            </w:r>
          </w:p>
        </w:tc>
        <w:tc>
          <w:tcPr>
            <w:tcW w:w="3561" w:type="dxa"/>
            <w:gridSpan w:val="6"/>
            <w:vAlign w:val="center"/>
          </w:tcPr>
          <w:p>
            <w:pPr>
              <w:autoSpaceDN w:val="0"/>
              <w:spacing w:line="400" w:lineRule="exact"/>
              <w:jc w:val="center"/>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auto"/>
                <w:spacing w:val="-23"/>
                <w:sz w:val="24"/>
                <w:szCs w:val="24"/>
              </w:rPr>
              <w:t>部务会成员、区委党校校长</w:t>
            </w:r>
          </w:p>
        </w:tc>
        <w:tc>
          <w:tcPr>
            <w:tcW w:w="1479" w:type="dxa"/>
            <w:vAlign w:val="center"/>
          </w:tcPr>
          <w:p>
            <w:pPr>
              <w:autoSpaceDN w:val="0"/>
              <w:spacing w:line="4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中共岳阳市云溪区委组织部</w:t>
            </w:r>
          </w:p>
        </w:tc>
        <w:tc>
          <w:tcPr>
            <w:tcW w:w="3106" w:type="dxa"/>
            <w:gridSpan w:val="9"/>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80" w:hRule="atLeast"/>
          <w:jc w:val="center"/>
        </w:trPr>
        <w:tc>
          <w:tcPr>
            <w:tcW w:w="1654" w:type="dxa"/>
            <w:gridSpan w:val="2"/>
            <w:vAlign w:val="center"/>
          </w:tcPr>
          <w:p>
            <w:pPr>
              <w:autoSpaceDN w:val="0"/>
              <w:spacing w:line="4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余军</w:t>
            </w:r>
          </w:p>
        </w:tc>
        <w:tc>
          <w:tcPr>
            <w:tcW w:w="3561" w:type="dxa"/>
            <w:gridSpan w:val="6"/>
            <w:vAlign w:val="center"/>
          </w:tcPr>
          <w:p>
            <w:pPr>
              <w:autoSpaceDN w:val="0"/>
              <w:spacing w:line="4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办公室主任</w:t>
            </w:r>
          </w:p>
        </w:tc>
        <w:tc>
          <w:tcPr>
            <w:tcW w:w="1479" w:type="dxa"/>
            <w:vAlign w:val="center"/>
          </w:tcPr>
          <w:p>
            <w:pPr>
              <w:autoSpaceDN w:val="0"/>
              <w:spacing w:line="4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中共岳阳市云溪区委组织部</w:t>
            </w:r>
          </w:p>
        </w:tc>
        <w:tc>
          <w:tcPr>
            <w:tcW w:w="3106" w:type="dxa"/>
            <w:gridSpan w:val="9"/>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680" w:hRule="atLeast"/>
          <w:jc w:val="center"/>
        </w:trPr>
        <w:tc>
          <w:tcPr>
            <w:tcW w:w="1654" w:type="dxa"/>
            <w:gridSpan w:val="2"/>
            <w:vAlign w:val="center"/>
          </w:tcPr>
          <w:p>
            <w:pPr>
              <w:autoSpaceDN w:val="0"/>
              <w:spacing w:line="4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杨柳</w:t>
            </w:r>
          </w:p>
        </w:tc>
        <w:tc>
          <w:tcPr>
            <w:tcW w:w="3561" w:type="dxa"/>
            <w:gridSpan w:val="6"/>
            <w:vAlign w:val="center"/>
          </w:tcPr>
          <w:p>
            <w:pPr>
              <w:autoSpaceDN w:val="0"/>
              <w:spacing w:line="400" w:lineRule="exact"/>
              <w:jc w:val="center"/>
              <w:textAlignment w:val="center"/>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val="en-US" w:eastAsia="zh-CN"/>
              </w:rPr>
              <w:t>出纳</w:t>
            </w:r>
          </w:p>
        </w:tc>
        <w:tc>
          <w:tcPr>
            <w:tcW w:w="1479" w:type="dxa"/>
            <w:vAlign w:val="center"/>
          </w:tcPr>
          <w:p>
            <w:pPr>
              <w:autoSpaceDN w:val="0"/>
              <w:spacing w:line="4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中共岳阳市云溪区委组织部</w:t>
            </w:r>
          </w:p>
        </w:tc>
        <w:tc>
          <w:tcPr>
            <w:tcW w:w="3106" w:type="dxa"/>
            <w:gridSpan w:val="9"/>
            <w:vAlign w:val="center"/>
          </w:tcPr>
          <w:p>
            <w:pPr>
              <w:autoSpaceDN w:val="0"/>
              <w:spacing w:line="32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2052" w:hRule="atLeast"/>
          <w:jc w:val="center"/>
        </w:trPr>
        <w:tc>
          <w:tcPr>
            <w:tcW w:w="9800" w:type="dxa"/>
            <w:gridSpan w:val="18"/>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autoSpaceDN w:val="0"/>
              <w:spacing w:line="320" w:lineRule="exact"/>
              <w:jc w:val="left"/>
              <w:textAlignment w:val="center"/>
              <w:rPr>
                <w:rFonts w:hint="eastAsia" w:ascii="仿宋_GB2312" w:hAnsi="仿宋_GB2312" w:eastAsia="仿宋_GB2312" w:cs="仿宋_GB2312"/>
                <w:color w:val="000000"/>
                <w:sz w:val="24"/>
              </w:rPr>
            </w:pPr>
          </w:p>
          <w:p>
            <w:pPr>
              <w:autoSpaceDN w:val="0"/>
              <w:spacing w:line="320" w:lineRule="exact"/>
              <w:jc w:val="left"/>
              <w:textAlignment w:val="center"/>
              <w:rPr>
                <w:rFonts w:hint="eastAsia" w:ascii="仿宋_GB2312" w:hAnsi="仿宋_GB2312" w:eastAsia="仿宋_GB2312" w:cs="仿宋_GB2312"/>
                <w:color w:val="000000"/>
                <w:sz w:val="24"/>
              </w:rPr>
            </w:pPr>
          </w:p>
          <w:p>
            <w:pPr>
              <w:autoSpaceDN w:val="0"/>
              <w:spacing w:line="320" w:lineRule="exact"/>
              <w:jc w:val="left"/>
              <w:textAlignment w:val="center"/>
              <w:rPr>
                <w:rFonts w:hint="eastAsia" w:ascii="仿宋_GB2312" w:hAnsi="仿宋_GB2312" w:eastAsia="仿宋_GB2312" w:cs="仿宋_GB2312"/>
                <w:color w:val="000000"/>
                <w:sz w:val="24"/>
              </w:rPr>
            </w:pPr>
          </w:p>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2172" w:hRule="atLeast"/>
          <w:jc w:val="center"/>
        </w:trPr>
        <w:tc>
          <w:tcPr>
            <w:tcW w:w="9800" w:type="dxa"/>
            <w:gridSpan w:val="18"/>
            <w:vAlign w:val="center"/>
          </w:tcPr>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autoSpaceDN w:val="0"/>
              <w:spacing w:line="320" w:lineRule="exact"/>
              <w:jc w:val="left"/>
              <w:textAlignment w:val="center"/>
              <w:rPr>
                <w:rFonts w:hint="eastAsia" w:ascii="仿宋_GB2312" w:hAnsi="仿宋_GB2312" w:eastAsia="仿宋_GB2312" w:cs="仿宋_GB2312"/>
                <w:color w:val="000000"/>
                <w:sz w:val="24"/>
              </w:rPr>
            </w:pPr>
          </w:p>
          <w:p>
            <w:pPr>
              <w:autoSpaceDN w:val="0"/>
              <w:spacing w:line="320" w:lineRule="exact"/>
              <w:jc w:val="left"/>
              <w:textAlignment w:val="center"/>
              <w:rPr>
                <w:rFonts w:hint="eastAsia" w:ascii="仿宋_GB2312" w:hAnsi="仿宋_GB2312" w:eastAsia="仿宋_GB2312" w:cs="仿宋_GB2312"/>
                <w:color w:val="000000"/>
                <w:sz w:val="24"/>
              </w:rPr>
            </w:pPr>
          </w:p>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autoSpaceDN w:val="0"/>
              <w:spacing w:line="32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gridBefore w:val="1"/>
          <w:wBefore w:w="93" w:type="dxa"/>
          <w:trHeight w:val="2794" w:hRule="atLeast"/>
          <w:jc w:val="center"/>
        </w:trPr>
        <w:tc>
          <w:tcPr>
            <w:tcW w:w="9800" w:type="dxa"/>
            <w:gridSpan w:val="18"/>
            <w:vAlign w:val="center"/>
          </w:tcPr>
          <w:p>
            <w:pPr>
              <w:spacing w:line="320" w:lineRule="exact"/>
              <w:rPr>
                <w:rFonts w:hint="eastAsia" w:eastAsia="仿宋_GB2312"/>
                <w:sz w:val="24"/>
              </w:rPr>
            </w:pPr>
            <w:r>
              <w:rPr>
                <w:rFonts w:hint="eastAsia" w:eastAsia="仿宋_GB2312"/>
                <w:sz w:val="24"/>
              </w:rPr>
              <w:t>财政部门归口业务股室意见：</w:t>
            </w:r>
          </w:p>
          <w:p>
            <w:pPr>
              <w:spacing w:line="320" w:lineRule="exact"/>
              <w:rPr>
                <w:rFonts w:hint="eastAsia" w:eastAsia="仿宋_GB2312"/>
                <w:sz w:val="24"/>
              </w:rPr>
            </w:pPr>
          </w:p>
          <w:p>
            <w:pPr>
              <w:spacing w:line="320" w:lineRule="exact"/>
              <w:rPr>
                <w:rFonts w:hint="eastAsia" w:eastAsia="仿宋_GB2312"/>
                <w:sz w:val="24"/>
              </w:rPr>
            </w:pPr>
          </w:p>
          <w:p>
            <w:pPr>
              <w:spacing w:line="320" w:lineRule="exact"/>
              <w:rPr>
                <w:rFonts w:hint="eastAsia" w:eastAsia="仿宋_GB2312"/>
                <w:sz w:val="24"/>
              </w:rPr>
            </w:pPr>
            <w:r>
              <w:rPr>
                <w:rFonts w:hint="eastAsia" w:eastAsia="仿宋_GB2312"/>
                <w:sz w:val="24"/>
              </w:rPr>
              <w:t xml:space="preserve">                                  财政部门归口业务股室负责人（签章）：</w:t>
            </w:r>
          </w:p>
          <w:p>
            <w:pPr>
              <w:autoSpaceDN w:val="0"/>
              <w:spacing w:line="32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35" w:type="dxa"/>
          <w:trHeight w:val="12998" w:hRule="atLeast"/>
          <w:jc w:val="center"/>
        </w:trPr>
        <w:tc>
          <w:tcPr>
            <w:tcW w:w="9558" w:type="dxa"/>
            <w:gridSpan w:val="18"/>
            <w:vAlign w:val="top"/>
          </w:tcPr>
          <w:p>
            <w:pPr>
              <w:jc w:val="center"/>
              <w:rPr>
                <w:rFonts w:hint="eastAsia" w:ascii="黑体" w:hAnsi="黑体" w:eastAsia="黑体" w:cs="黑体"/>
                <w:bCs/>
                <w:sz w:val="28"/>
                <w:szCs w:val="28"/>
              </w:rPr>
            </w:pPr>
            <w:r>
              <w:rPr>
                <w:rFonts w:hint="eastAsia" w:ascii="黑体" w:hAnsi="黑体" w:eastAsia="黑体" w:cs="黑体"/>
                <w:bCs/>
                <w:sz w:val="28"/>
                <w:szCs w:val="28"/>
              </w:rPr>
              <w:t>五、评价报告综述（文字部分）</w:t>
            </w:r>
          </w:p>
          <w:p>
            <w:pPr>
              <w:spacing w:line="440" w:lineRule="exact"/>
              <w:ind w:firstLine="640" w:firstLineChars="200"/>
              <w:rPr>
                <w:rFonts w:hint="eastAsia" w:eastAsia="仿宋_GB2312"/>
                <w:sz w:val="32"/>
                <w:szCs w:val="32"/>
              </w:rPr>
            </w:pPr>
          </w:p>
          <w:p>
            <w:pPr>
              <w:rPr>
                <w:rFonts w:hint="eastAsia" w:ascii="黑体" w:hAnsi="黑体" w:eastAsia="黑体" w:cs="黑体"/>
                <w:sz w:val="30"/>
                <w:szCs w:val="30"/>
              </w:rPr>
            </w:pPr>
            <w:r>
              <w:rPr>
                <w:rFonts w:hint="eastAsia" w:ascii="黑体" w:hAnsi="黑体" w:eastAsia="黑体" w:cs="黑体"/>
                <w:sz w:val="30"/>
                <w:szCs w:val="30"/>
              </w:rPr>
              <w:t>一、整体支出概况</w:t>
            </w:r>
          </w:p>
          <w:p>
            <w:pPr>
              <w:ind w:firstLine="600" w:firstLineChars="200"/>
              <w:rPr>
                <w:rFonts w:hint="eastAsia" w:ascii="仿宋_GB2312" w:hAnsi="仿宋" w:eastAsia="仿宋_GB2312"/>
                <w:sz w:val="30"/>
                <w:szCs w:val="30"/>
              </w:rPr>
            </w:pPr>
            <w:r>
              <w:rPr>
                <w:rFonts w:hint="eastAsia" w:ascii="仿宋_GB2312" w:hAnsi="仿宋" w:eastAsia="仿宋_GB2312"/>
                <w:sz w:val="30"/>
                <w:szCs w:val="30"/>
                <w:lang w:val="en-US" w:eastAsia="zh-CN"/>
              </w:rPr>
              <w:t>2023</w:t>
            </w:r>
            <w:r>
              <w:rPr>
                <w:rFonts w:hint="eastAsia" w:ascii="仿宋_GB2312" w:hAnsi="仿宋" w:eastAsia="仿宋_GB2312"/>
                <w:sz w:val="30"/>
                <w:szCs w:val="30"/>
              </w:rPr>
              <w:t>年，总收入</w:t>
            </w:r>
            <w:r>
              <w:rPr>
                <w:rFonts w:hint="eastAsia" w:ascii="仿宋_GB2312" w:hAnsi="仿宋" w:eastAsia="仿宋_GB2312"/>
                <w:sz w:val="30"/>
                <w:szCs w:val="30"/>
                <w:lang w:val="en-US" w:eastAsia="zh-CN"/>
              </w:rPr>
              <w:t>936.74</w:t>
            </w:r>
            <w:r>
              <w:rPr>
                <w:rFonts w:hint="eastAsia" w:ascii="仿宋_GB2312" w:hAnsi="仿宋" w:eastAsia="仿宋_GB2312"/>
                <w:sz w:val="30"/>
                <w:szCs w:val="30"/>
              </w:rPr>
              <w:t>万元，其中财政拨款</w:t>
            </w:r>
            <w:r>
              <w:rPr>
                <w:rFonts w:hint="eastAsia" w:ascii="仿宋_GB2312" w:hAnsi="仿宋" w:eastAsia="仿宋_GB2312"/>
                <w:sz w:val="30"/>
                <w:szCs w:val="30"/>
                <w:lang w:val="en-US" w:eastAsia="zh-CN"/>
              </w:rPr>
              <w:t>936.74</w:t>
            </w:r>
            <w:r>
              <w:rPr>
                <w:rFonts w:hint="eastAsia" w:ascii="仿宋_GB2312" w:hAnsi="仿宋" w:eastAsia="仿宋_GB2312"/>
                <w:sz w:val="30"/>
                <w:szCs w:val="30"/>
              </w:rPr>
              <w:t>万元。总支出</w:t>
            </w:r>
            <w:r>
              <w:rPr>
                <w:rFonts w:hint="eastAsia" w:ascii="仿宋_GB2312" w:hAnsi="仿宋" w:eastAsia="仿宋_GB2312"/>
                <w:sz w:val="30"/>
                <w:szCs w:val="30"/>
                <w:lang w:val="en-US" w:eastAsia="zh-CN"/>
              </w:rPr>
              <w:t xml:space="preserve">  936.74</w:t>
            </w:r>
            <w:r>
              <w:rPr>
                <w:rFonts w:hint="eastAsia" w:ascii="仿宋_GB2312" w:hAnsi="仿宋" w:eastAsia="仿宋_GB2312"/>
                <w:sz w:val="30"/>
                <w:szCs w:val="30"/>
              </w:rPr>
              <w:t>万元，基本支出757.40万元，其中人员支出410.61万，公用支出346.79万元</w:t>
            </w:r>
            <w:r>
              <w:rPr>
                <w:rFonts w:hint="eastAsia" w:ascii="仿宋_GB2312" w:hAnsi="仿宋" w:eastAsia="仿宋_GB2312"/>
                <w:sz w:val="30"/>
                <w:szCs w:val="30"/>
                <w:lang w:eastAsia="zh-CN"/>
              </w:rPr>
              <w:t>；</w:t>
            </w:r>
            <w:r>
              <w:rPr>
                <w:rFonts w:hint="eastAsia" w:ascii="仿宋_GB2312" w:hAnsi="仿宋" w:eastAsia="仿宋_GB2312"/>
                <w:sz w:val="30"/>
                <w:szCs w:val="30"/>
                <w:lang w:val="en-US" w:eastAsia="zh-CN"/>
              </w:rPr>
              <w:t>项目支出179.34</w:t>
            </w:r>
            <w:r>
              <w:rPr>
                <w:rFonts w:hint="eastAsia" w:ascii="仿宋_GB2312" w:hAnsi="仿宋" w:eastAsia="仿宋_GB2312"/>
                <w:sz w:val="30"/>
                <w:szCs w:val="30"/>
              </w:rPr>
              <w:t>。</w:t>
            </w:r>
          </w:p>
          <w:p>
            <w:pPr>
              <w:rPr>
                <w:rFonts w:hint="eastAsia" w:ascii="黑体" w:hAnsi="黑体" w:eastAsia="黑体" w:cs="黑体"/>
                <w:bCs/>
                <w:sz w:val="30"/>
                <w:szCs w:val="30"/>
              </w:rPr>
            </w:pPr>
            <w:r>
              <w:rPr>
                <w:rFonts w:hint="eastAsia" w:ascii="黑体" w:hAnsi="黑体" w:eastAsia="黑体" w:cs="黑体"/>
                <w:bCs/>
                <w:sz w:val="30"/>
                <w:szCs w:val="30"/>
              </w:rPr>
              <w:t>二、资金使用及管理情况</w:t>
            </w:r>
            <w:bookmarkStart w:id="0" w:name="_GoBack"/>
            <w:bookmarkEnd w:id="0"/>
          </w:p>
          <w:p>
            <w:pPr>
              <w:ind w:firstLine="600" w:firstLineChars="200"/>
              <w:rPr>
                <w:rFonts w:hint="eastAsia" w:ascii="仿宋_GB2312" w:hAnsi="仿宋" w:eastAsia="仿宋_GB2312"/>
                <w:bCs/>
                <w:sz w:val="30"/>
                <w:szCs w:val="30"/>
              </w:rPr>
            </w:pPr>
            <w:r>
              <w:rPr>
                <w:rFonts w:hint="eastAsia" w:ascii="仿宋_GB2312" w:hAnsi="仿宋" w:eastAsia="仿宋_GB2312"/>
                <w:bCs/>
                <w:sz w:val="30"/>
                <w:szCs w:val="30"/>
              </w:rPr>
              <w:t>资金使用和管理严格按照</w:t>
            </w:r>
            <w:r>
              <w:rPr>
                <w:rFonts w:hint="eastAsia" w:ascii="仿宋_GB2312" w:hAnsi="仿宋" w:eastAsia="仿宋_GB2312"/>
                <w:bCs/>
                <w:sz w:val="30"/>
                <w:szCs w:val="30"/>
                <w:lang w:val="en-US" w:eastAsia="zh-CN"/>
              </w:rPr>
              <w:t>部</w:t>
            </w:r>
            <w:r>
              <w:rPr>
                <w:rFonts w:hint="eastAsia" w:ascii="仿宋_GB2312" w:hAnsi="仿宋" w:eastAsia="仿宋_GB2312"/>
                <w:bCs/>
                <w:sz w:val="30"/>
                <w:szCs w:val="30"/>
              </w:rPr>
              <w:t>机关年初制定的各项规章制度，严格一支笔审批，所有报销凭证，必须有经办人、</w:t>
            </w:r>
            <w:r>
              <w:rPr>
                <w:rFonts w:hint="eastAsia" w:ascii="仿宋_GB2312" w:hAnsi="仿宋" w:eastAsia="仿宋_GB2312"/>
                <w:bCs/>
                <w:sz w:val="30"/>
                <w:szCs w:val="30"/>
                <w:lang w:val="en-US" w:eastAsia="zh-CN"/>
              </w:rPr>
              <w:t>证明人</w:t>
            </w:r>
            <w:r>
              <w:rPr>
                <w:rFonts w:hint="eastAsia" w:ascii="仿宋_GB2312" w:hAnsi="仿宋" w:eastAsia="仿宋_GB2312"/>
                <w:bCs/>
                <w:sz w:val="30"/>
                <w:szCs w:val="30"/>
              </w:rPr>
              <w:t>和审批人签字后方可报销。一次性开支</w:t>
            </w:r>
            <w:r>
              <w:rPr>
                <w:rFonts w:hint="eastAsia" w:ascii="仿宋_GB2312" w:hAnsi="仿宋" w:eastAsia="仿宋_GB2312"/>
                <w:bCs/>
                <w:sz w:val="30"/>
                <w:szCs w:val="30"/>
                <w:lang w:val="en-US" w:eastAsia="zh-CN"/>
              </w:rPr>
              <w:t>3</w:t>
            </w:r>
            <w:r>
              <w:rPr>
                <w:rFonts w:hint="eastAsia" w:ascii="仿宋_GB2312" w:hAnsi="仿宋" w:eastAsia="仿宋_GB2312"/>
                <w:bCs/>
                <w:sz w:val="30"/>
                <w:szCs w:val="30"/>
              </w:rPr>
              <w:t>0000元以上的需经</w:t>
            </w:r>
            <w:r>
              <w:rPr>
                <w:rFonts w:hint="eastAsia" w:ascii="仿宋_GB2312" w:hAnsi="仿宋" w:eastAsia="仿宋_GB2312"/>
                <w:bCs/>
                <w:sz w:val="30"/>
                <w:szCs w:val="30"/>
                <w:lang w:val="en-US" w:eastAsia="zh-CN"/>
              </w:rPr>
              <w:t>部委会</w:t>
            </w:r>
            <w:r>
              <w:rPr>
                <w:rFonts w:hint="eastAsia" w:ascii="仿宋_GB2312" w:hAnsi="仿宋" w:eastAsia="仿宋_GB2312"/>
                <w:bCs/>
                <w:sz w:val="30"/>
                <w:szCs w:val="30"/>
              </w:rPr>
              <w:t>集体研究决定，否则不论何种情况，不能报销。</w:t>
            </w:r>
          </w:p>
          <w:p>
            <w:pPr>
              <w:ind w:firstLine="600" w:firstLineChars="200"/>
              <w:rPr>
                <w:rFonts w:hint="eastAsia" w:ascii="仿宋_GB2312" w:hAnsi="仿宋" w:eastAsia="仿宋_GB2312"/>
                <w:bCs/>
                <w:sz w:val="30"/>
                <w:szCs w:val="30"/>
              </w:rPr>
            </w:pPr>
            <w:r>
              <w:rPr>
                <w:rFonts w:hint="eastAsia" w:ascii="仿宋_GB2312" w:hAnsi="仿宋" w:eastAsia="仿宋_GB2312"/>
                <w:bCs/>
                <w:sz w:val="30"/>
                <w:szCs w:val="30"/>
              </w:rPr>
              <w:t>为规范项目管理，确保项目质量，制定了项目管理制度，强化项目资金管理。严格做到“专账管理、专款专用”。</w:t>
            </w:r>
          </w:p>
          <w:p>
            <w:pPr>
              <w:rPr>
                <w:rFonts w:hint="eastAsia" w:ascii="黑体" w:hAnsi="Calibri" w:eastAsia="黑体"/>
                <w:sz w:val="30"/>
                <w:szCs w:val="30"/>
              </w:rPr>
            </w:pPr>
            <w:r>
              <w:rPr>
                <w:rFonts w:hint="eastAsia" w:ascii="黑体" w:hAnsi="Calibri" w:eastAsia="黑体"/>
                <w:sz w:val="30"/>
                <w:szCs w:val="30"/>
              </w:rPr>
              <w:t>三、组织实施情况</w:t>
            </w:r>
          </w:p>
          <w:p>
            <w:pPr>
              <w:ind w:firstLine="600" w:firstLineChars="200"/>
              <w:rPr>
                <w:rFonts w:eastAsia="楷体_GB2312"/>
                <w:bCs/>
                <w:sz w:val="28"/>
                <w:szCs w:val="28"/>
              </w:rPr>
            </w:pPr>
            <w:r>
              <w:rPr>
                <w:rFonts w:hint="eastAsia" w:ascii="仿宋_GB2312" w:hAnsi="Calibri" w:eastAsia="仿宋_GB2312"/>
                <w:sz w:val="30"/>
                <w:szCs w:val="30"/>
                <w:lang w:val="en-US" w:eastAsia="zh-CN"/>
              </w:rPr>
              <w:t>我单位</w:t>
            </w:r>
            <w:r>
              <w:rPr>
                <w:rFonts w:hint="eastAsia" w:ascii="仿宋_GB2312" w:hAnsi="Calibri" w:eastAsia="仿宋_GB2312"/>
                <w:sz w:val="30"/>
                <w:szCs w:val="30"/>
              </w:rPr>
              <w:t>修订了《机关管理制度》，从财务管理制度、公务接待制度、奖励制度等方面加以规范，以制度管人管事。</w:t>
            </w:r>
          </w:p>
        </w:tc>
      </w:tr>
    </w:tbl>
    <w:p>
      <w:pPr>
        <w:spacing w:line="120" w:lineRule="auto"/>
        <w:jc w:val="both"/>
        <w:rPr>
          <w:rFonts w:hint="eastAsia" w:ascii="方正小标宋简体" w:eastAsia="方正小标宋简体"/>
          <w:sz w:val="38"/>
          <w:szCs w:val="38"/>
        </w:rPr>
      </w:pPr>
      <w:r>
        <w:rPr>
          <w:rFonts w:eastAsia="楷体_GB2312"/>
          <w:bCs/>
          <w:sz w:val="28"/>
          <w:szCs w:val="28"/>
        </w:rPr>
        <w:br w:type="page"/>
      </w:r>
      <w:r>
        <w:rPr>
          <w:rFonts w:hint="eastAsia" w:ascii="方正小标宋简体" w:eastAsia="方正小标宋简体"/>
          <w:sz w:val="38"/>
          <w:szCs w:val="38"/>
        </w:rPr>
        <w:t>部门整体支出绩效评价评分表（参考样表）</w:t>
      </w:r>
    </w:p>
    <w:tbl>
      <w:tblPr>
        <w:tblStyle w:val="4"/>
        <w:tblW w:w="9894" w:type="dxa"/>
        <w:jc w:val="center"/>
        <w:tblLayout w:type="fixed"/>
        <w:tblCellMar>
          <w:top w:w="0" w:type="dxa"/>
          <w:left w:w="108" w:type="dxa"/>
          <w:bottom w:w="0" w:type="dxa"/>
          <w:right w:w="108" w:type="dxa"/>
        </w:tblCellMar>
      </w:tblPr>
      <w:tblGrid>
        <w:gridCol w:w="976"/>
        <w:gridCol w:w="939"/>
        <w:gridCol w:w="1389"/>
        <w:gridCol w:w="4171"/>
        <w:gridCol w:w="619"/>
        <w:gridCol w:w="720"/>
        <w:gridCol w:w="1080"/>
      </w:tblGrid>
      <w:tr>
        <w:tblPrEx>
          <w:tblCellMar>
            <w:top w:w="0" w:type="dxa"/>
            <w:left w:w="108" w:type="dxa"/>
            <w:bottom w:w="0" w:type="dxa"/>
            <w:right w:w="108" w:type="dxa"/>
          </w:tblCellMar>
        </w:tblPrEx>
        <w:trPr>
          <w:trHeight w:val="395"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一级指标</w:t>
            </w:r>
          </w:p>
        </w:tc>
        <w:tc>
          <w:tcPr>
            <w:tcW w:w="93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二级指标</w:t>
            </w:r>
          </w:p>
        </w:tc>
        <w:tc>
          <w:tcPr>
            <w:tcW w:w="138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三级指标</w:t>
            </w:r>
          </w:p>
        </w:tc>
        <w:tc>
          <w:tcPr>
            <w:tcW w:w="417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评分标准</w:t>
            </w:r>
          </w:p>
        </w:tc>
        <w:tc>
          <w:tcPr>
            <w:tcW w:w="61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分值</w:t>
            </w:r>
          </w:p>
        </w:tc>
        <w:tc>
          <w:tcPr>
            <w:tcW w:w="72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自评得分</w:t>
            </w:r>
          </w:p>
        </w:tc>
        <w:tc>
          <w:tcPr>
            <w:tcW w:w="10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b/>
                <w:bCs/>
                <w:spacing w:val="-10"/>
                <w:kern w:val="0"/>
                <w:sz w:val="18"/>
                <w:szCs w:val="18"/>
              </w:rPr>
            </w:pPr>
            <w:r>
              <w:rPr>
                <w:rFonts w:hint="eastAsia" w:ascii="仿宋_GB2312" w:hAnsi="宋体" w:eastAsia="仿宋_GB2312" w:cs="宋体"/>
                <w:b/>
                <w:bCs/>
                <w:spacing w:val="-10"/>
                <w:kern w:val="0"/>
                <w:sz w:val="18"/>
                <w:szCs w:val="18"/>
              </w:rPr>
              <w:t>扣分原因和其他说明</w:t>
            </w:r>
          </w:p>
        </w:tc>
      </w:tr>
      <w:tr>
        <w:tblPrEx>
          <w:tblCellMar>
            <w:top w:w="0" w:type="dxa"/>
            <w:left w:w="108" w:type="dxa"/>
            <w:bottom w:w="0" w:type="dxa"/>
            <w:right w:w="108" w:type="dxa"/>
          </w:tblCellMar>
        </w:tblPrEx>
        <w:trPr>
          <w:trHeight w:val="559" w:hRule="atLeast"/>
          <w:jc w:val="center"/>
        </w:trPr>
        <w:tc>
          <w:tcPr>
            <w:tcW w:w="976" w:type="dxa"/>
            <w:vMerge w:val="restart"/>
            <w:tcBorders>
              <w:top w:val="nil"/>
              <w:left w:val="single" w:color="auto" w:sz="4" w:space="0"/>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投  入</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（15分）</w:t>
            </w:r>
          </w:p>
        </w:tc>
        <w:tc>
          <w:tcPr>
            <w:tcW w:w="939" w:type="dxa"/>
            <w:vMerge w:val="restart"/>
            <w:tcBorders>
              <w:top w:val="nil"/>
              <w:left w:val="single" w:color="auto" w:sz="4" w:space="0"/>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预算配置</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（15分）</w:t>
            </w: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hint="eastAsia" w:ascii="仿宋_GB2312" w:hAnsi="宋体" w:eastAsia="仿宋_GB2312" w:cs="宋体"/>
                <w:kern w:val="0"/>
                <w:sz w:val="18"/>
                <w:szCs w:val="18"/>
              </w:rPr>
            </w:pPr>
            <w:r>
              <w:rPr>
                <w:rFonts w:hint="eastAsia" w:ascii="仿宋_GB2312" w:hAnsi="宋体" w:eastAsia="仿宋_GB2312" w:cs="宋体"/>
                <w:kern w:val="0"/>
                <w:sz w:val="18"/>
                <w:szCs w:val="18"/>
              </w:rPr>
              <w:t>财政供养人员</w:t>
            </w:r>
          </w:p>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控制率</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以100%为标准。在职人员控制率</w:t>
            </w:r>
            <w:r>
              <w:rPr>
                <w:rFonts w:hint="eastAsia" w:ascii="宋体" w:hAnsi="宋体" w:cs="宋体"/>
                <w:kern w:val="0"/>
                <w:sz w:val="18"/>
                <w:szCs w:val="18"/>
              </w:rPr>
              <w:t>≦</w:t>
            </w:r>
            <w:r>
              <w:rPr>
                <w:rFonts w:hint="eastAsia" w:ascii="仿宋_GB2312" w:hAnsi="宋体" w:eastAsia="仿宋_GB2312" w:cs="宋体"/>
                <w:kern w:val="0"/>
                <w:sz w:val="18"/>
                <w:szCs w:val="18"/>
              </w:rPr>
              <w:t>100%，计5分；每超过一个百分点扣0.5分，扣完为止。</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720" w:type="dxa"/>
            <w:tcBorders>
              <w:top w:val="nil"/>
              <w:left w:val="nil"/>
              <w:bottom w:val="single" w:color="auto" w:sz="4" w:space="0"/>
              <w:right w:val="single" w:color="auto" w:sz="4" w:space="0"/>
            </w:tcBorders>
            <w:vAlign w:val="center"/>
          </w:tcPr>
          <w:p>
            <w:pPr>
              <w:widowControl/>
              <w:spacing w:line="240" w:lineRule="exact"/>
              <w:jc w:val="left"/>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5</w:t>
            </w:r>
          </w:p>
        </w:tc>
        <w:tc>
          <w:tcPr>
            <w:tcW w:w="1080"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780"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“三公经费”</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变动率</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“三公经费”变动率</w:t>
            </w:r>
            <w:r>
              <w:rPr>
                <w:rFonts w:hint="eastAsia" w:ascii="宋体" w:hAnsi="宋体" w:cs="宋体"/>
                <w:kern w:val="0"/>
                <w:sz w:val="18"/>
                <w:szCs w:val="18"/>
              </w:rPr>
              <w:t>≦</w:t>
            </w:r>
            <w:r>
              <w:rPr>
                <w:rFonts w:hint="eastAsia" w:ascii="仿宋_GB2312" w:hAnsi="宋体" w:eastAsia="仿宋_GB2312" w:cs="宋体"/>
                <w:kern w:val="0"/>
                <w:sz w:val="18"/>
                <w:szCs w:val="18"/>
              </w:rPr>
              <w:t>0,计5分；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“三公经费”＞0，每超过一个百分点扣0.5分，扣完为止。</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720" w:type="dxa"/>
            <w:tcBorders>
              <w:top w:val="nil"/>
              <w:left w:val="nil"/>
              <w:bottom w:val="single" w:color="auto" w:sz="4" w:space="0"/>
              <w:right w:val="single" w:color="auto" w:sz="4" w:space="0"/>
            </w:tcBorders>
            <w:vAlign w:val="center"/>
          </w:tcPr>
          <w:p>
            <w:pPr>
              <w:widowControl/>
              <w:spacing w:line="240" w:lineRule="exact"/>
              <w:jc w:val="left"/>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5</w:t>
            </w:r>
          </w:p>
        </w:tc>
        <w:tc>
          <w:tcPr>
            <w:tcW w:w="1080"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737"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重点支出</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安排率</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重点支出安排率≥90%，计5分；80%（含）-90%，计4分；70%（含）-80%，计3分；60%（含）-70%，计2分；低于60%不得分。</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720" w:type="dxa"/>
            <w:tcBorders>
              <w:top w:val="nil"/>
              <w:left w:val="nil"/>
              <w:bottom w:val="single" w:color="auto" w:sz="4" w:space="0"/>
              <w:right w:val="single" w:color="auto" w:sz="4" w:space="0"/>
            </w:tcBorders>
            <w:vAlign w:val="center"/>
          </w:tcPr>
          <w:p>
            <w:pPr>
              <w:widowControl/>
              <w:spacing w:line="240" w:lineRule="exact"/>
              <w:jc w:val="left"/>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5</w:t>
            </w:r>
          </w:p>
        </w:tc>
        <w:tc>
          <w:tcPr>
            <w:tcW w:w="1080"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776" w:hRule="atLeast"/>
          <w:jc w:val="center"/>
        </w:trPr>
        <w:tc>
          <w:tcPr>
            <w:tcW w:w="976" w:type="dxa"/>
            <w:vMerge w:val="restart"/>
            <w:tcBorders>
              <w:top w:val="nil"/>
              <w:left w:val="single" w:color="auto" w:sz="4" w:space="0"/>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过  程</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（40分）</w:t>
            </w:r>
          </w:p>
        </w:tc>
        <w:tc>
          <w:tcPr>
            <w:tcW w:w="939" w:type="dxa"/>
            <w:vMerge w:val="restart"/>
            <w:tcBorders>
              <w:top w:val="nil"/>
              <w:left w:val="single" w:color="auto" w:sz="4" w:space="0"/>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预算执行</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（15分）</w:t>
            </w: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预算调整率</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预算调整率=0，计3分；0-10%（含），计2分；10-20%（含），计1分；20-30%（含），计0.5分；大于30%不得分。</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vAlign w:val="center"/>
          </w:tcPr>
          <w:p>
            <w:pPr>
              <w:widowControl/>
              <w:spacing w:line="240" w:lineRule="exact"/>
              <w:jc w:val="both"/>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2</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1039"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支付进度</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春节前下达全部专项资金的50%；6月底前所有专项资金指标全部下达完。</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每出现一个专项未按进度完成资金下达扣0.5分，扣完为止。</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vAlign w:val="center"/>
          </w:tcPr>
          <w:p>
            <w:pPr>
              <w:widowControl/>
              <w:spacing w:line="240" w:lineRule="exact"/>
              <w:jc w:val="both"/>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3</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739"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资金结余</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无结余，3分；有结余，但不超过上年结转，2分；结余超过上年结转，不得分。</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vAlign w:val="center"/>
          </w:tcPr>
          <w:p>
            <w:pPr>
              <w:widowControl/>
              <w:spacing w:line="240" w:lineRule="exact"/>
              <w:jc w:val="both"/>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3</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hint="eastAsia" w:ascii="仿宋_GB2312" w:hAnsi="宋体" w:eastAsia="仿宋_GB2312" w:cs="宋体"/>
                <w:color w:val="000000"/>
                <w:kern w:val="0"/>
                <w:sz w:val="18"/>
                <w:szCs w:val="18"/>
                <w:lang w:val="en-US" w:eastAsia="zh-CN"/>
              </w:rPr>
            </w:pPr>
          </w:p>
        </w:tc>
      </w:tr>
      <w:tr>
        <w:tblPrEx>
          <w:tblCellMar>
            <w:top w:w="0" w:type="dxa"/>
            <w:left w:w="108" w:type="dxa"/>
            <w:bottom w:w="0" w:type="dxa"/>
            <w:right w:w="108" w:type="dxa"/>
          </w:tblCellMar>
        </w:tblPrEx>
        <w:trPr>
          <w:trHeight w:val="555"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“三公经费”</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控制率</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以100%为标准。三公经费控制率</w:t>
            </w:r>
            <w:r>
              <w:rPr>
                <w:rFonts w:hint="eastAsia" w:ascii="宋体" w:hAnsi="宋体" w:cs="宋体"/>
                <w:kern w:val="0"/>
                <w:sz w:val="18"/>
                <w:szCs w:val="18"/>
              </w:rPr>
              <w:t>≦</w:t>
            </w:r>
            <w:r>
              <w:rPr>
                <w:rFonts w:hint="eastAsia" w:ascii="仿宋_GB2312" w:hAnsi="宋体" w:eastAsia="仿宋_GB2312" w:cs="宋体"/>
                <w:kern w:val="0"/>
                <w:sz w:val="18"/>
                <w:szCs w:val="18"/>
              </w:rPr>
              <w:t>100%，计6分；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每超过一个百分点扣1分，扣完为止。</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6</w:t>
            </w:r>
          </w:p>
        </w:tc>
        <w:tc>
          <w:tcPr>
            <w:tcW w:w="720" w:type="dxa"/>
            <w:tcBorders>
              <w:top w:val="nil"/>
              <w:left w:val="nil"/>
              <w:bottom w:val="single" w:color="auto" w:sz="4" w:space="0"/>
              <w:right w:val="single" w:color="auto" w:sz="4" w:space="0"/>
            </w:tcBorders>
            <w:vAlign w:val="center"/>
          </w:tcPr>
          <w:p>
            <w:pPr>
              <w:widowControl/>
              <w:spacing w:line="240" w:lineRule="exact"/>
              <w:jc w:val="both"/>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6</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1155"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restart"/>
            <w:tcBorders>
              <w:top w:val="nil"/>
              <w:left w:val="single" w:color="auto" w:sz="4" w:space="0"/>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预算管理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（15分）</w:t>
            </w: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管理制度</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健全性</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①已制定或具有预算资金管理办法，内部财务管理制度、会计核算制度等管理制度，1分；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②相关管理制度合法、合规、完整，1分；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③相关管理制度得到有效执行，1分。</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vAlign w:val="center"/>
          </w:tcPr>
          <w:p>
            <w:pPr>
              <w:widowControl/>
              <w:spacing w:line="240" w:lineRule="exact"/>
              <w:jc w:val="both"/>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3</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1697"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资金使用</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合规性</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①支出符合国家财经法规和财务管理制度规定以及有关专项资金管理办法的规定；</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②资金拨付有完整的审批程序和手续；</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③项目支出按规定经过评估论证；</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④支出符合部门预算批复的用途；</w:t>
            </w:r>
            <w:r>
              <w:rPr>
                <w:rFonts w:hint="eastAsia" w:ascii="仿宋_GB2312" w:hAnsi="宋体" w:eastAsia="仿宋_GB2312" w:cs="宋体"/>
                <w:kern w:val="0"/>
                <w:sz w:val="18"/>
                <w:szCs w:val="18"/>
              </w:rPr>
              <w:br w:type="textWrapping"/>
            </w:r>
            <w:r>
              <w:rPr>
                <w:rFonts w:hint="eastAsia" w:ascii="仿宋_GB2312" w:hAnsi="宋体" w:eastAsia="仿宋_GB2312" w:cs="宋体"/>
                <w:spacing w:val="-6"/>
                <w:kern w:val="0"/>
                <w:sz w:val="18"/>
                <w:szCs w:val="18"/>
              </w:rPr>
              <w:t>⑤资金使用无截留、挤占、挪用、虚列支出等情况。</w:t>
            </w:r>
            <w:r>
              <w:rPr>
                <w:rFonts w:hint="eastAsia" w:ascii="仿宋_GB2312" w:hAnsi="宋体" w:eastAsia="仿宋_GB2312" w:cs="宋体"/>
                <w:spacing w:val="-6"/>
                <w:kern w:val="0"/>
                <w:sz w:val="18"/>
                <w:szCs w:val="18"/>
              </w:rPr>
              <w:br w:type="textWrapping"/>
            </w:r>
            <w:r>
              <w:rPr>
                <w:rFonts w:hint="eastAsia" w:ascii="仿宋_GB2312" w:hAnsi="宋体" w:eastAsia="仿宋_GB2312" w:cs="宋体"/>
                <w:spacing w:val="-6"/>
                <w:kern w:val="0"/>
                <w:sz w:val="18"/>
                <w:szCs w:val="18"/>
              </w:rPr>
              <w:t>以上情况每出现一例不符合要求的扣1分，扣完为止。</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vAlign w:val="center"/>
          </w:tcPr>
          <w:p>
            <w:pPr>
              <w:widowControl/>
              <w:spacing w:line="240" w:lineRule="exact"/>
              <w:jc w:val="both"/>
              <w:rPr>
                <w:rFonts w:hint="eastAsia" w:ascii="仿宋_GB2312" w:hAnsi="宋体" w:eastAsia="仿宋_GB2312" w:cs="宋体"/>
                <w:color w:val="000000"/>
                <w:kern w:val="0"/>
                <w:sz w:val="18"/>
                <w:szCs w:val="18"/>
                <w:lang w:val="en-US" w:eastAsia="zh-CN"/>
              </w:rPr>
            </w:pPr>
            <w:r>
              <w:rPr>
                <w:rFonts w:hint="eastAsia" w:ascii="仿宋_GB2312" w:hAnsi="宋体" w:eastAsia="仿宋_GB2312" w:cs="宋体"/>
                <w:color w:val="000000"/>
                <w:kern w:val="0"/>
                <w:sz w:val="18"/>
                <w:szCs w:val="18"/>
                <w:lang w:val="en-US" w:eastAsia="zh-CN"/>
              </w:rPr>
              <w:t>3</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color w:val="000000"/>
                <w:kern w:val="0"/>
                <w:sz w:val="18"/>
                <w:szCs w:val="18"/>
              </w:rPr>
            </w:pPr>
          </w:p>
        </w:tc>
      </w:tr>
      <w:tr>
        <w:tblPrEx>
          <w:tblCellMar>
            <w:top w:w="0" w:type="dxa"/>
            <w:left w:w="108" w:type="dxa"/>
            <w:bottom w:w="0" w:type="dxa"/>
            <w:right w:w="108" w:type="dxa"/>
          </w:tblCellMar>
        </w:tblPrEx>
        <w:trPr>
          <w:trHeight w:val="135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预决算信息公开性和完善性</w:t>
            </w:r>
          </w:p>
        </w:tc>
        <w:tc>
          <w:tcPr>
            <w:tcW w:w="4171"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①按规定内容公开预决算信息，1分；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②按规定时限公开预决算信息，0.5分；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③基础数据信息和会计信息资料真实，0.5分；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④基础数据信息和会计信息资料完整，0.5分；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 xml:space="preserve">⑤基础数据信息和汇集信息资料准确，0.5分。                                            </w:t>
            </w: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3</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42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　</w:t>
            </w: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r>
              <w:rPr>
                <w:rFonts w:hint="eastAsia" w:ascii="仿宋_GB2312" w:hAnsi="宋体" w:eastAsia="仿宋_GB2312" w:cs="宋体"/>
                <w:kern w:val="0"/>
                <w:sz w:val="18"/>
                <w:szCs w:val="18"/>
              </w:rPr>
              <w:t>政府采购</w:t>
            </w:r>
          </w:p>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执行率</w:t>
            </w:r>
          </w:p>
        </w:tc>
        <w:tc>
          <w:tcPr>
            <w:tcW w:w="4171"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政府采购执行率等于100%的，得3分；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每减少一个百分点，扣0.2分，扣完为止。</w:t>
            </w: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3</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63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公务卡刷卡率</w:t>
            </w:r>
          </w:p>
        </w:tc>
        <w:tc>
          <w:tcPr>
            <w:tcW w:w="4171"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公务卡刷卡率达50％以上的，得3分。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 xml:space="preserve">每减少一个百分点，扣0.2分，扣完为止。                                            </w:t>
            </w: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3</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735" w:hRule="atLeast"/>
          <w:jc w:val="center"/>
        </w:trPr>
        <w:tc>
          <w:tcPr>
            <w:tcW w:w="976" w:type="dxa"/>
            <w:vMerge w:val="continue"/>
            <w:tcBorders>
              <w:top w:val="nil"/>
              <w:left w:val="single" w:color="auto" w:sz="4" w:space="0"/>
              <w:bottom w:val="nil"/>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tcBorders>
              <w:top w:val="nil"/>
              <w:left w:val="single" w:color="auto" w:sz="4" w:space="0"/>
              <w:bottom w:val="nil"/>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资产管理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（10分）</w:t>
            </w:r>
          </w:p>
        </w:tc>
        <w:tc>
          <w:tcPr>
            <w:tcW w:w="1389" w:type="dxa"/>
            <w:tcBorders>
              <w:top w:val="nil"/>
              <w:left w:val="nil"/>
              <w:bottom w:val="nil"/>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管理制度</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健全性</w:t>
            </w:r>
          </w:p>
        </w:tc>
        <w:tc>
          <w:tcPr>
            <w:tcW w:w="4171" w:type="dxa"/>
            <w:tcBorders>
              <w:top w:val="nil"/>
              <w:left w:val="nil"/>
              <w:bottom w:val="nil"/>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①已制定或具有资产管理制度，且相关资产管理制度合法、合规、完整，2分；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 xml:space="preserve">②相关资产管理制度得到有效执行，1分。                                           </w:t>
            </w:r>
          </w:p>
        </w:tc>
        <w:tc>
          <w:tcPr>
            <w:tcW w:w="619" w:type="dxa"/>
            <w:tcBorders>
              <w:top w:val="nil"/>
              <w:left w:val="nil"/>
              <w:bottom w:val="nil"/>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nil"/>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3</w:t>
            </w:r>
          </w:p>
        </w:tc>
        <w:tc>
          <w:tcPr>
            <w:tcW w:w="1080" w:type="dxa"/>
            <w:tcBorders>
              <w:top w:val="nil"/>
              <w:left w:val="nil"/>
              <w:bottom w:val="nil"/>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735" w:hRule="atLeast"/>
          <w:jc w:val="center"/>
        </w:trPr>
        <w:tc>
          <w:tcPr>
            <w:tcW w:w="976" w:type="dxa"/>
            <w:tcBorders>
              <w:top w:val="nil"/>
              <w:left w:val="single" w:color="auto" w:sz="4" w:space="0"/>
              <w:bottom w:val="nil"/>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tcBorders>
              <w:top w:val="nil"/>
              <w:left w:val="single" w:color="auto" w:sz="4" w:space="0"/>
              <w:bottom w:val="nil"/>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p>
        </w:tc>
        <w:tc>
          <w:tcPr>
            <w:tcW w:w="1389" w:type="dxa"/>
            <w:tcBorders>
              <w:top w:val="nil"/>
              <w:left w:val="nil"/>
              <w:bottom w:val="nil"/>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p>
        </w:tc>
        <w:tc>
          <w:tcPr>
            <w:tcW w:w="4171" w:type="dxa"/>
            <w:tcBorders>
              <w:top w:val="nil"/>
              <w:left w:val="nil"/>
              <w:bottom w:val="nil"/>
              <w:right w:val="single" w:color="auto" w:sz="4" w:space="0"/>
            </w:tcBorders>
            <w:shd w:val="clear" w:color="auto" w:fill="auto"/>
            <w:vAlign w:val="center"/>
          </w:tcPr>
          <w:p>
            <w:pPr>
              <w:widowControl/>
              <w:spacing w:line="240" w:lineRule="exact"/>
              <w:jc w:val="left"/>
              <w:rPr>
                <w:rFonts w:hint="eastAsia" w:ascii="仿宋_GB2312" w:hAnsi="宋体" w:eastAsia="仿宋_GB2312" w:cs="宋体"/>
                <w:kern w:val="0"/>
                <w:sz w:val="18"/>
                <w:szCs w:val="18"/>
              </w:rPr>
            </w:pPr>
          </w:p>
        </w:tc>
        <w:tc>
          <w:tcPr>
            <w:tcW w:w="619" w:type="dxa"/>
            <w:tcBorders>
              <w:top w:val="nil"/>
              <w:left w:val="nil"/>
              <w:bottom w:val="nil"/>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p>
        </w:tc>
        <w:tc>
          <w:tcPr>
            <w:tcW w:w="720" w:type="dxa"/>
            <w:tcBorders>
              <w:top w:val="nil"/>
              <w:left w:val="nil"/>
              <w:bottom w:val="nil"/>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p>
        </w:tc>
        <w:tc>
          <w:tcPr>
            <w:tcW w:w="1080" w:type="dxa"/>
            <w:tcBorders>
              <w:top w:val="nil"/>
              <w:left w:val="nil"/>
              <w:bottom w:val="nil"/>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165" w:hRule="atLeast"/>
          <w:jc w:val="center"/>
        </w:trPr>
        <w:tc>
          <w:tcPr>
            <w:tcW w:w="976"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p>
        </w:tc>
        <w:tc>
          <w:tcPr>
            <w:tcW w:w="4171"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hint="eastAsia" w:ascii="仿宋_GB2312" w:hAnsi="宋体" w:eastAsia="仿宋_GB2312" w:cs="宋体"/>
                <w:kern w:val="0"/>
                <w:sz w:val="18"/>
                <w:szCs w:val="18"/>
              </w:rPr>
            </w:pP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bl>
    <w:p/>
    <w:tbl>
      <w:tblPr>
        <w:tblStyle w:val="4"/>
        <w:tblW w:w="9894" w:type="dxa"/>
        <w:jc w:val="center"/>
        <w:tblLayout w:type="fixed"/>
        <w:tblCellMar>
          <w:top w:w="0" w:type="dxa"/>
          <w:left w:w="108" w:type="dxa"/>
          <w:bottom w:w="0" w:type="dxa"/>
          <w:right w:w="108" w:type="dxa"/>
        </w:tblCellMar>
      </w:tblPr>
      <w:tblGrid>
        <w:gridCol w:w="976"/>
        <w:gridCol w:w="939"/>
        <w:gridCol w:w="1389"/>
        <w:gridCol w:w="4171"/>
        <w:gridCol w:w="619"/>
        <w:gridCol w:w="720"/>
        <w:gridCol w:w="1080"/>
      </w:tblGrid>
      <w:tr>
        <w:tblPrEx>
          <w:tblCellMar>
            <w:top w:w="0" w:type="dxa"/>
            <w:left w:w="108" w:type="dxa"/>
            <w:bottom w:w="0" w:type="dxa"/>
            <w:right w:w="108" w:type="dxa"/>
          </w:tblCellMar>
        </w:tblPrEx>
        <w:trPr>
          <w:trHeight w:val="609" w:hRule="atLeast"/>
          <w:jc w:val="center"/>
        </w:trPr>
        <w:tc>
          <w:tcPr>
            <w:tcW w:w="97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一级指标</w:t>
            </w:r>
          </w:p>
        </w:tc>
        <w:tc>
          <w:tcPr>
            <w:tcW w:w="9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二级指标</w:t>
            </w:r>
          </w:p>
        </w:tc>
        <w:tc>
          <w:tcPr>
            <w:tcW w:w="138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三级指标</w:t>
            </w:r>
          </w:p>
        </w:tc>
        <w:tc>
          <w:tcPr>
            <w:tcW w:w="417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评分标准</w:t>
            </w:r>
          </w:p>
        </w:tc>
        <w:tc>
          <w:tcPr>
            <w:tcW w:w="61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分值</w:t>
            </w:r>
          </w:p>
        </w:tc>
        <w:tc>
          <w:tcPr>
            <w:tcW w:w="72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自评得分</w:t>
            </w:r>
          </w:p>
        </w:tc>
        <w:tc>
          <w:tcPr>
            <w:tcW w:w="10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b/>
                <w:bCs/>
                <w:spacing w:val="-12"/>
                <w:kern w:val="0"/>
                <w:sz w:val="18"/>
                <w:szCs w:val="18"/>
              </w:rPr>
            </w:pPr>
            <w:r>
              <w:rPr>
                <w:rFonts w:hint="eastAsia" w:ascii="仿宋_GB2312" w:hAnsi="宋体" w:eastAsia="仿宋_GB2312" w:cs="宋体"/>
                <w:b/>
                <w:bCs/>
                <w:spacing w:val="-12"/>
                <w:kern w:val="0"/>
                <w:sz w:val="18"/>
                <w:szCs w:val="18"/>
              </w:rPr>
              <w:t>扣分原因和其他说明</w:t>
            </w:r>
          </w:p>
        </w:tc>
      </w:tr>
      <w:tr>
        <w:tblPrEx>
          <w:tblCellMar>
            <w:top w:w="0" w:type="dxa"/>
            <w:left w:w="108" w:type="dxa"/>
            <w:bottom w:w="0" w:type="dxa"/>
            <w:right w:w="108" w:type="dxa"/>
          </w:tblCellMar>
        </w:tblPrEx>
        <w:trPr>
          <w:trHeight w:val="2011" w:hRule="atLeast"/>
          <w:jc w:val="center"/>
        </w:trPr>
        <w:tc>
          <w:tcPr>
            <w:tcW w:w="9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hint="eastAsia" w:ascii="仿宋_GB2312" w:hAnsi="宋体" w:eastAsia="仿宋_GB2312" w:cs="宋体"/>
                <w:kern w:val="0"/>
                <w:sz w:val="18"/>
                <w:szCs w:val="18"/>
              </w:rPr>
            </w:pPr>
            <w:r>
              <w:rPr>
                <w:rFonts w:hint="eastAsia" w:ascii="仿宋_GB2312" w:hAnsi="宋体" w:eastAsia="仿宋_GB2312" w:cs="宋体"/>
                <w:kern w:val="0"/>
                <w:sz w:val="18"/>
                <w:szCs w:val="18"/>
              </w:rPr>
              <w:t>过  程</w:t>
            </w:r>
          </w:p>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（40分）</w:t>
            </w:r>
          </w:p>
        </w:tc>
        <w:tc>
          <w:tcPr>
            <w:tcW w:w="93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资产管理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（10分）</w:t>
            </w:r>
          </w:p>
        </w:tc>
        <w:tc>
          <w:tcPr>
            <w:tcW w:w="138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资产管理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安全性</w:t>
            </w:r>
          </w:p>
        </w:tc>
        <w:tc>
          <w:tcPr>
            <w:tcW w:w="417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①资产保存完整；</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②资产配置合理；</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 xml:space="preserve">③资产处置规范； </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④资产账务管理合规，帐实相符；</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⑤资产有偿使用及处置收入及时足额上缴；</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以上情况每出现一例不符合有关要求的扣1分，扣完为止。</w:t>
            </w:r>
          </w:p>
        </w:tc>
        <w:tc>
          <w:tcPr>
            <w:tcW w:w="619"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4</w:t>
            </w:r>
          </w:p>
        </w:tc>
        <w:tc>
          <w:tcPr>
            <w:tcW w:w="72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4</w:t>
            </w:r>
          </w:p>
        </w:tc>
        <w:tc>
          <w:tcPr>
            <w:tcW w:w="10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774"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固定资产</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利用率</w:t>
            </w:r>
          </w:p>
        </w:tc>
        <w:tc>
          <w:tcPr>
            <w:tcW w:w="4171"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每低于100%一个百分点扣0.1分，扣完为止。</w:t>
            </w: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3</w:t>
            </w: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2</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eastAsia="zh-CN"/>
              </w:rPr>
            </w:pPr>
            <w:r>
              <w:rPr>
                <w:rFonts w:hint="eastAsia" w:ascii="仿宋_GB2312" w:hAnsi="宋体" w:eastAsia="仿宋_GB2312" w:cs="宋体"/>
                <w:kern w:val="0"/>
                <w:sz w:val="18"/>
                <w:szCs w:val="18"/>
                <w:lang w:eastAsia="zh-CN"/>
              </w:rPr>
              <w:t>存在闲置资产</w:t>
            </w:r>
          </w:p>
        </w:tc>
      </w:tr>
      <w:tr>
        <w:tblPrEx>
          <w:tblCellMar>
            <w:top w:w="0" w:type="dxa"/>
            <w:left w:w="108" w:type="dxa"/>
            <w:bottom w:w="0" w:type="dxa"/>
            <w:right w:w="108" w:type="dxa"/>
          </w:tblCellMar>
        </w:tblPrEx>
        <w:trPr>
          <w:trHeight w:val="900" w:hRule="atLeast"/>
          <w:jc w:val="center"/>
        </w:trPr>
        <w:tc>
          <w:tcPr>
            <w:tcW w:w="9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产  出（25分）</w:t>
            </w:r>
          </w:p>
        </w:tc>
        <w:tc>
          <w:tcPr>
            <w:tcW w:w="939"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职责履行</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（25分）</w:t>
            </w: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推进全面小康建设指标任务完成情况</w:t>
            </w:r>
          </w:p>
        </w:tc>
        <w:tc>
          <w:tcPr>
            <w:tcW w:w="4171"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rPr>
              <w:t>此项指标根据《中共岳阳市云溪区委 岳阳市云溪区人民政府 关于印发岳阳市云溪区2018年度综合绩效考核工作实施方案的通知》（岳云发〔2018〕10号）考核内容设置。</w:t>
            </w:r>
          </w:p>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部门单位应根据部门实际进行调整，并将其细化成相应的个性化指标</w:t>
            </w:r>
            <w:r>
              <w:rPr>
                <w:rFonts w:hint="eastAsia" w:ascii="仿宋_GB2312" w:hAnsi="宋体" w:eastAsia="仿宋_GB2312" w:cs="宋体"/>
                <w:kern w:val="0"/>
                <w:sz w:val="18"/>
                <w:szCs w:val="18"/>
              </w:rPr>
              <w:br w:type="textWrapping"/>
            </w: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720"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90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建设湖南新增极目标任务完成情况</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7</w:t>
            </w:r>
          </w:p>
        </w:tc>
        <w:tc>
          <w:tcPr>
            <w:tcW w:w="720"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7</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90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《政府工作报告》目标任务完成情况</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720"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68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省市重点民生实事完成情况</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2</w:t>
            </w:r>
          </w:p>
        </w:tc>
        <w:tc>
          <w:tcPr>
            <w:tcW w:w="720"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2</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90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省市重点工程和重大项目建设完成情况</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2</w:t>
            </w:r>
          </w:p>
        </w:tc>
        <w:tc>
          <w:tcPr>
            <w:tcW w:w="720"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2</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80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其他工作实绩指标完成情况</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4</w:t>
            </w:r>
          </w:p>
        </w:tc>
        <w:tc>
          <w:tcPr>
            <w:tcW w:w="720"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4</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600" w:hRule="atLeast"/>
          <w:jc w:val="center"/>
        </w:trPr>
        <w:tc>
          <w:tcPr>
            <w:tcW w:w="9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效  果</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（20分）</w:t>
            </w:r>
          </w:p>
        </w:tc>
        <w:tc>
          <w:tcPr>
            <w:tcW w:w="939"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履职效益</w:t>
            </w:r>
            <w:r>
              <w:rPr>
                <w:rFonts w:hint="eastAsia" w:ascii="仿宋_GB2312" w:hAnsi="宋体" w:eastAsia="仿宋_GB2312" w:cs="宋体"/>
                <w:kern w:val="0"/>
                <w:sz w:val="18"/>
                <w:szCs w:val="18"/>
              </w:rPr>
              <w:br w:type="textWrapping"/>
            </w:r>
            <w:r>
              <w:rPr>
                <w:rFonts w:hint="eastAsia" w:ascii="仿宋_GB2312" w:hAnsi="宋体" w:eastAsia="仿宋_GB2312" w:cs="宋体"/>
                <w:kern w:val="0"/>
                <w:sz w:val="18"/>
                <w:szCs w:val="18"/>
              </w:rPr>
              <w:t>（20分）</w:t>
            </w: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经济效益</w:t>
            </w:r>
          </w:p>
        </w:tc>
        <w:tc>
          <w:tcPr>
            <w:tcW w:w="4171"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rPr>
              <w:t>此三项指标为设置部门整体支出绩效评价指标时必须考虑的共性要素。</w:t>
            </w:r>
          </w:p>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部门单位应根据部门实际并结合部门整体支出绩效目标设立情况有选择的进行设置，并将其细化为相应的个性化指标。</w:t>
            </w:r>
          </w:p>
        </w:tc>
        <w:tc>
          <w:tcPr>
            <w:tcW w:w="619"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15</w:t>
            </w: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5</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60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社会效益</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5</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600" w:hRule="atLeast"/>
          <w:jc w:val="center"/>
        </w:trPr>
        <w:tc>
          <w:tcPr>
            <w:tcW w:w="976"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生态效益</w:t>
            </w:r>
          </w:p>
        </w:tc>
        <w:tc>
          <w:tcPr>
            <w:tcW w:w="4171"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619"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仿宋_GB2312" w:hAnsi="宋体" w:eastAsia="仿宋_GB2312" w:cs="宋体"/>
                <w:kern w:val="0"/>
                <w:sz w:val="18"/>
                <w:szCs w:val="18"/>
              </w:rPr>
            </w:pPr>
          </w:p>
        </w:tc>
        <w:tc>
          <w:tcPr>
            <w:tcW w:w="72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5</w:t>
            </w:r>
          </w:p>
        </w:tc>
        <w:tc>
          <w:tcPr>
            <w:tcW w:w="1080" w:type="dxa"/>
            <w:tcBorders>
              <w:top w:val="nil"/>
              <w:left w:val="nil"/>
              <w:bottom w:val="single" w:color="auto" w:sz="4" w:space="0"/>
              <w:right w:val="single" w:color="auto" w:sz="4" w:space="0"/>
            </w:tcBorders>
            <w:shd w:val="clear" w:color="auto" w:fill="FFFFFF"/>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1113" w:hRule="atLeast"/>
          <w:jc w:val="center"/>
        </w:trPr>
        <w:tc>
          <w:tcPr>
            <w:tcW w:w="976"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939" w:type="dxa"/>
            <w:vMerge w:val="continue"/>
            <w:tcBorders>
              <w:top w:val="nil"/>
              <w:left w:val="single" w:color="auto" w:sz="4" w:space="0"/>
              <w:bottom w:val="single" w:color="auto" w:sz="4" w:space="0"/>
              <w:right w:val="single" w:color="auto" w:sz="4" w:space="0"/>
            </w:tcBorders>
            <w:vAlign w:val="center"/>
          </w:tcPr>
          <w:p>
            <w:pPr>
              <w:widowControl/>
              <w:spacing w:line="240" w:lineRule="exact"/>
              <w:jc w:val="left"/>
              <w:rPr>
                <w:rFonts w:ascii="仿宋_GB2312" w:hAnsi="宋体" w:eastAsia="仿宋_GB2312" w:cs="宋体"/>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社会公众或服务对象满意度</w:t>
            </w:r>
          </w:p>
        </w:tc>
        <w:tc>
          <w:tcPr>
            <w:tcW w:w="4171" w:type="dxa"/>
            <w:tcBorders>
              <w:top w:val="nil"/>
              <w:left w:val="nil"/>
              <w:bottom w:val="single" w:color="auto" w:sz="4" w:space="0"/>
              <w:right w:val="single" w:color="auto" w:sz="4" w:space="0"/>
            </w:tcBorders>
            <w:vAlign w:val="center"/>
          </w:tcPr>
          <w:p>
            <w:pPr>
              <w:widowControl/>
              <w:spacing w:line="24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rPr>
              <w:t>95%（含）以上计5分；</w:t>
            </w:r>
          </w:p>
          <w:p>
            <w:pPr>
              <w:widowControl/>
              <w:spacing w:line="24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rPr>
              <w:t>85%（含）-95%，计3分；</w:t>
            </w:r>
          </w:p>
          <w:p>
            <w:pPr>
              <w:widowControl/>
              <w:spacing w:line="240" w:lineRule="exact"/>
              <w:jc w:val="left"/>
              <w:rPr>
                <w:rFonts w:hint="eastAsia" w:ascii="仿宋_GB2312" w:hAnsi="宋体" w:eastAsia="仿宋_GB2312" w:cs="宋体"/>
                <w:kern w:val="0"/>
                <w:sz w:val="18"/>
                <w:szCs w:val="18"/>
              </w:rPr>
            </w:pPr>
            <w:r>
              <w:rPr>
                <w:rFonts w:hint="eastAsia" w:ascii="仿宋_GB2312" w:hAnsi="宋体" w:eastAsia="仿宋_GB2312" w:cs="宋体"/>
                <w:kern w:val="0"/>
                <w:sz w:val="18"/>
                <w:szCs w:val="18"/>
              </w:rPr>
              <w:t>75%（含）-85%，计1分；</w:t>
            </w:r>
          </w:p>
          <w:p>
            <w:pPr>
              <w:widowControl/>
              <w:spacing w:line="240" w:lineRule="exact"/>
              <w:jc w:val="left"/>
              <w:rPr>
                <w:rFonts w:ascii="仿宋_GB2312" w:hAnsi="宋体" w:eastAsia="仿宋_GB2312" w:cs="宋体"/>
                <w:kern w:val="0"/>
                <w:sz w:val="18"/>
                <w:szCs w:val="18"/>
              </w:rPr>
            </w:pPr>
            <w:r>
              <w:rPr>
                <w:rFonts w:hint="eastAsia" w:ascii="仿宋_GB2312" w:hAnsi="宋体" w:eastAsia="仿宋_GB2312" w:cs="宋体"/>
                <w:kern w:val="0"/>
                <w:sz w:val="18"/>
                <w:szCs w:val="18"/>
              </w:rPr>
              <w:t>低于75%计0分。</w:t>
            </w: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r>
              <w:rPr>
                <w:rFonts w:hint="eastAsia" w:ascii="仿宋_GB2312" w:hAnsi="宋体" w:eastAsia="仿宋_GB2312" w:cs="宋体"/>
                <w:kern w:val="0"/>
                <w:sz w:val="18"/>
                <w:szCs w:val="18"/>
              </w:rPr>
              <w:t>5</w:t>
            </w:r>
          </w:p>
        </w:tc>
        <w:tc>
          <w:tcPr>
            <w:tcW w:w="720" w:type="dxa"/>
            <w:tcBorders>
              <w:top w:val="nil"/>
              <w:left w:val="nil"/>
              <w:bottom w:val="single" w:color="auto" w:sz="4" w:space="0"/>
              <w:right w:val="single" w:color="auto" w:sz="4" w:space="0"/>
            </w:tcBorders>
            <w:vAlign w:val="center"/>
          </w:tcPr>
          <w:p>
            <w:pPr>
              <w:widowControl/>
              <w:spacing w:line="240" w:lineRule="exact"/>
              <w:jc w:val="center"/>
              <w:rPr>
                <w:rFonts w:hint="eastAsia" w:ascii="仿宋_GB2312" w:hAnsi="宋体" w:eastAsia="仿宋_GB2312" w:cs="宋体"/>
                <w:kern w:val="0"/>
                <w:sz w:val="18"/>
                <w:szCs w:val="18"/>
                <w:lang w:val="en-US" w:eastAsia="zh-CN"/>
              </w:rPr>
            </w:pPr>
            <w:r>
              <w:rPr>
                <w:rFonts w:hint="eastAsia" w:ascii="仿宋_GB2312" w:hAnsi="宋体" w:eastAsia="仿宋_GB2312" w:cs="宋体"/>
                <w:kern w:val="0"/>
                <w:sz w:val="18"/>
                <w:szCs w:val="18"/>
                <w:lang w:val="en-US" w:eastAsia="zh-CN"/>
              </w:rPr>
              <w:t>5</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kern w:val="0"/>
                <w:sz w:val="18"/>
                <w:szCs w:val="18"/>
              </w:rPr>
            </w:pPr>
          </w:p>
        </w:tc>
      </w:tr>
      <w:tr>
        <w:tblPrEx>
          <w:tblCellMar>
            <w:top w:w="0" w:type="dxa"/>
            <w:left w:w="108" w:type="dxa"/>
            <w:bottom w:w="0" w:type="dxa"/>
            <w:right w:w="108" w:type="dxa"/>
          </w:tblCellMar>
        </w:tblPrEx>
        <w:trPr>
          <w:trHeight w:val="670" w:hRule="atLeast"/>
          <w:jc w:val="center"/>
        </w:trPr>
        <w:tc>
          <w:tcPr>
            <w:tcW w:w="976" w:type="dxa"/>
            <w:tcBorders>
              <w:top w:val="nil"/>
              <w:left w:val="single" w:color="auto" w:sz="4" w:space="0"/>
              <w:bottom w:val="single" w:color="auto" w:sz="4" w:space="0"/>
              <w:right w:val="single" w:color="auto" w:sz="4" w:space="0"/>
            </w:tcBorders>
            <w:vAlign w:val="center"/>
          </w:tcPr>
          <w:p>
            <w:pPr>
              <w:widowControl/>
              <w:spacing w:line="240" w:lineRule="exact"/>
              <w:jc w:val="center"/>
              <w:rPr>
                <w:rFonts w:ascii="仿宋_GB2312" w:hAnsi="宋体" w:eastAsia="仿宋_GB2312" w:cs="宋体"/>
                <w:b/>
                <w:bCs/>
                <w:kern w:val="0"/>
                <w:sz w:val="18"/>
                <w:szCs w:val="18"/>
              </w:rPr>
            </w:pPr>
            <w:r>
              <w:rPr>
                <w:rFonts w:hint="eastAsia" w:ascii="仿宋_GB2312" w:hAnsi="宋体" w:eastAsia="仿宋_GB2312" w:cs="宋体"/>
                <w:b/>
                <w:bCs/>
                <w:kern w:val="0"/>
                <w:sz w:val="18"/>
                <w:szCs w:val="18"/>
              </w:rPr>
              <w:t>总 分</w:t>
            </w:r>
          </w:p>
        </w:tc>
        <w:tc>
          <w:tcPr>
            <w:tcW w:w="93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b/>
                <w:bCs/>
                <w:kern w:val="0"/>
                <w:sz w:val="18"/>
                <w:szCs w:val="18"/>
              </w:rPr>
            </w:pPr>
          </w:p>
        </w:tc>
        <w:tc>
          <w:tcPr>
            <w:tcW w:w="138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b/>
                <w:bCs/>
                <w:kern w:val="0"/>
                <w:sz w:val="18"/>
                <w:szCs w:val="18"/>
              </w:rPr>
            </w:pPr>
          </w:p>
        </w:tc>
        <w:tc>
          <w:tcPr>
            <w:tcW w:w="4171"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b/>
                <w:bCs/>
                <w:kern w:val="0"/>
                <w:sz w:val="18"/>
                <w:szCs w:val="18"/>
              </w:rPr>
            </w:pPr>
          </w:p>
        </w:tc>
        <w:tc>
          <w:tcPr>
            <w:tcW w:w="619"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b/>
                <w:bCs/>
                <w:spacing w:val="-8"/>
                <w:kern w:val="0"/>
                <w:sz w:val="18"/>
                <w:szCs w:val="18"/>
              </w:rPr>
            </w:pPr>
            <w:r>
              <w:rPr>
                <w:rFonts w:hint="eastAsia" w:ascii="仿宋_GB2312" w:hAnsi="宋体" w:eastAsia="仿宋_GB2312" w:cs="宋体"/>
                <w:b/>
                <w:bCs/>
                <w:spacing w:val="-8"/>
                <w:kern w:val="0"/>
                <w:sz w:val="18"/>
                <w:szCs w:val="18"/>
              </w:rPr>
              <w:t>100</w:t>
            </w:r>
          </w:p>
        </w:tc>
        <w:tc>
          <w:tcPr>
            <w:tcW w:w="720" w:type="dxa"/>
            <w:tcBorders>
              <w:top w:val="nil"/>
              <w:left w:val="nil"/>
              <w:bottom w:val="single" w:color="auto" w:sz="4" w:space="0"/>
              <w:right w:val="single" w:color="auto" w:sz="4" w:space="0"/>
            </w:tcBorders>
            <w:vAlign w:val="center"/>
          </w:tcPr>
          <w:p>
            <w:pPr>
              <w:widowControl/>
              <w:spacing w:line="240" w:lineRule="exact"/>
              <w:jc w:val="center"/>
              <w:rPr>
                <w:rFonts w:hint="default" w:ascii="仿宋_GB2312" w:hAnsi="宋体" w:eastAsia="仿宋_GB2312" w:cs="宋体"/>
                <w:b/>
                <w:bCs/>
                <w:kern w:val="0"/>
                <w:sz w:val="18"/>
                <w:szCs w:val="18"/>
                <w:lang w:val="en-US" w:eastAsia="zh-CN"/>
              </w:rPr>
            </w:pPr>
            <w:r>
              <w:rPr>
                <w:rFonts w:hint="eastAsia" w:ascii="仿宋_GB2312" w:hAnsi="宋体" w:eastAsia="仿宋_GB2312" w:cs="宋体"/>
                <w:b/>
                <w:bCs/>
                <w:kern w:val="0"/>
                <w:sz w:val="18"/>
                <w:szCs w:val="18"/>
                <w:lang w:val="en-US" w:eastAsia="zh-CN"/>
              </w:rPr>
              <w:t>99</w:t>
            </w:r>
          </w:p>
        </w:tc>
        <w:tc>
          <w:tcPr>
            <w:tcW w:w="1080" w:type="dxa"/>
            <w:tcBorders>
              <w:top w:val="nil"/>
              <w:left w:val="nil"/>
              <w:bottom w:val="single" w:color="auto" w:sz="4" w:space="0"/>
              <w:right w:val="single" w:color="auto" w:sz="4" w:space="0"/>
            </w:tcBorders>
            <w:vAlign w:val="center"/>
          </w:tcPr>
          <w:p>
            <w:pPr>
              <w:widowControl/>
              <w:spacing w:line="240" w:lineRule="exact"/>
              <w:jc w:val="center"/>
              <w:rPr>
                <w:rFonts w:ascii="仿宋_GB2312" w:hAnsi="宋体" w:eastAsia="仿宋_GB2312" w:cs="宋体"/>
                <w:b/>
                <w:bCs/>
                <w:kern w:val="0"/>
                <w:sz w:val="18"/>
                <w:szCs w:val="18"/>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ingFang SC">
    <w:altName w:val="微软雅黑"/>
    <w:panose1 w:val="00000000000000000000"/>
    <w:charset w:val="00"/>
    <w:family w:val="auto"/>
    <w:pitch w:val="default"/>
    <w:sig w:usb0="00000000" w:usb1="00000000" w:usb2="00000000" w:usb3="00000000" w:csb0="00040001" w:csb1="00000000"/>
  </w:font>
  <w:font w:name="Arial Unicode MS">
    <w:altName w:val="宋体"/>
    <w:panose1 w:val="00000000000000000000"/>
    <w:charset w:val="86"/>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6"/>
        <w:sz w:val="24"/>
        <w:szCs w:val="24"/>
      </w:rPr>
    </w:pPr>
    <w:r>
      <w:rPr>
        <w:rStyle w:val="6"/>
        <w:rFonts w:hint="eastAsia"/>
        <w:sz w:val="24"/>
        <w:szCs w:val="24"/>
      </w:rPr>
      <w:t xml:space="preserve">— </w:t>
    </w:r>
    <w:r>
      <w:rPr>
        <w:sz w:val="24"/>
        <w:szCs w:val="24"/>
      </w:rPr>
      <w:fldChar w:fldCharType="begin"/>
    </w:r>
    <w:r>
      <w:rPr>
        <w:rStyle w:val="6"/>
        <w:sz w:val="24"/>
        <w:szCs w:val="24"/>
      </w:rPr>
      <w:instrText xml:space="preserve">PAGE  </w:instrText>
    </w:r>
    <w:r>
      <w:rPr>
        <w:sz w:val="24"/>
        <w:szCs w:val="24"/>
      </w:rPr>
      <w:fldChar w:fldCharType="separate"/>
    </w:r>
    <w:r>
      <w:rPr>
        <w:rStyle w:val="6"/>
        <w:sz w:val="24"/>
        <w:szCs w:val="24"/>
      </w:rPr>
      <w:t>2</w:t>
    </w:r>
    <w:r>
      <w:rPr>
        <w:sz w:val="24"/>
        <w:szCs w:val="24"/>
      </w:rPr>
      <w:fldChar w:fldCharType="end"/>
    </w:r>
    <w:r>
      <w:rPr>
        <w:rStyle w:val="6"/>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F853AA"/>
    <w:multiLevelType w:val="singleLevel"/>
    <w:tmpl w:val="3CF853A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yZmQ3ODI2ODNiYmU1YmMzNzA2OWNlMGVkN2JmNDcifQ=="/>
  </w:docVars>
  <w:rsids>
    <w:rsidRoot w:val="0EC94EFE"/>
    <w:rsid w:val="0EC94EFE"/>
    <w:rsid w:val="12152214"/>
    <w:rsid w:val="1A2079F3"/>
    <w:rsid w:val="233556A1"/>
    <w:rsid w:val="25793693"/>
    <w:rsid w:val="272158A7"/>
    <w:rsid w:val="274C1DC3"/>
    <w:rsid w:val="2AF9196B"/>
    <w:rsid w:val="58553175"/>
    <w:rsid w:val="6BC73489"/>
    <w:rsid w:val="6D535020"/>
    <w:rsid w:val="74EF068C"/>
    <w:rsid w:val="778F33BE"/>
    <w:rsid w:val="78502FE2"/>
    <w:rsid w:val="78F46C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kern w:val="0"/>
      <w:sz w:val="18"/>
      <w:szCs w:val="18"/>
    </w:rPr>
  </w:style>
  <w:style w:type="paragraph" w:styleId="3">
    <w:name w:val="HTML Preformatted"/>
    <w:basedOn w:val="1"/>
    <w:qFormat/>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eastAsia" w:ascii="PingFang SC" w:hAnsi="PingFang SC" w:eastAsia="PingFang SC" w:cs="PingFang SC"/>
      <w:kern w:val="0"/>
      <w:sz w:val="24"/>
      <w:szCs w:val="24"/>
      <w:lang w:val="en-US" w:eastAsia="zh-CN" w:bidi="ar"/>
    </w:rPr>
  </w:style>
  <w:style w:type="character" w:styleId="6">
    <w:name w:val="page number"/>
    <w:qFormat/>
    <w:uiPriority w:val="0"/>
  </w:style>
  <w:style w:type="paragraph" w:customStyle="1" w:styleId="7">
    <w:name w:val="正文首行缩进 21"/>
    <w:qFormat/>
    <w:uiPriority w:val="0"/>
    <w:pPr>
      <w:keepNext w:val="0"/>
      <w:keepLines w:val="0"/>
      <w:pageBreakBefore w:val="0"/>
      <w:framePr w:wrap="around" w:vAnchor="margin" w:hAnchor="text" w:yAlign="top"/>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100" w:beforeAutospacing="0" w:after="0" w:afterAutospacing="0" w:line="240" w:lineRule="auto"/>
      <w:ind w:left="0" w:right="0" w:firstLine="420"/>
      <w:jc w:val="both"/>
      <w:outlineLvl w:val="9"/>
    </w:pPr>
    <w:rPr>
      <w:rFonts w:ascii="Calibri" w:hAnsi="Calibri" w:eastAsia="Arial Unicode MS" w:cs="Arial Unicode MS"/>
      <w:color w:val="000000"/>
      <w:spacing w:val="0"/>
      <w:w w:val="100"/>
      <w:kern w:val="2"/>
      <w:position w:val="0"/>
      <w:sz w:val="21"/>
      <w:szCs w:val="21"/>
      <w:u w:val="none" w:color="000000"/>
      <w:shd w:val="clear" w:color="auto" w:fill="auto"/>
      <w:vertAlign w:val="baseline"/>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9</Pages>
  <Words>3975</Words>
  <Characters>4317</Characters>
  <Lines>0</Lines>
  <Paragraphs>0</Paragraphs>
  <TotalTime>2</TotalTime>
  <ScaleCrop>false</ScaleCrop>
  <LinksUpToDate>false</LinksUpToDate>
  <CharactersWithSpaces>4829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2020-07-07T08:56:00Z</dcterms:created>
  <dc:creator>yyy</dc:creator>
  <cp:lastModifiedBy>杨柳</cp:lastModifiedBy>
  <cp:lastPrinted>2023-07-21T06:43:00Z</cp:lastPrinted>
  <dcterms:modified xsi:type="dcterms:W3CDTF">2024-09-25T07:21:53Z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2A35A2B14A4A4AF894A07C2B66EE5803_13</vt:lpwstr>
  </property>
</Properties>
</file>