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3-1</w:t>
      </w:r>
      <w:r>
        <w:rPr>
          <w:rFonts w:hint="eastAsia" w:ascii="黑体" w:hAnsi="黑体" w:eastAsia="黑体" w:cs="黑体"/>
          <w:bCs/>
          <w:sz w:val="32"/>
          <w:szCs w:val="32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岳阳市云溪区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</w:rPr>
        <w:t>20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  <w:lang w:val="en-US" w:eastAsia="zh-CN"/>
        </w:rPr>
        <w:t>23</w:t>
      </w:r>
      <w:r>
        <w:rPr>
          <w:rFonts w:hint="eastAsia" w:ascii="宋体" w:hAnsi="宋体" w:eastAsia="宋体" w:cs="宋体"/>
          <w:b/>
          <w:bCs w:val="0"/>
          <w:sz w:val="46"/>
          <w:szCs w:val="46"/>
        </w:rPr>
        <w:t>年度部门整体支出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绩效评价自评报告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  <w:r>
        <w:rPr>
          <w:rFonts w:hint="eastAsia" w:eastAsia="仿宋_GB2312"/>
          <w:b/>
          <w:sz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部门(单位)名称：</w:t>
      </w:r>
      <w:r>
        <w:rPr>
          <w:rFonts w:hint="eastAsia" w:eastAsia="仿宋_GB2312"/>
          <w:sz w:val="32"/>
          <w:szCs w:val="32"/>
          <w:lang w:val="en-US" w:eastAsia="zh-CN"/>
        </w:rPr>
        <w:t>岳阳市云溪区农业综合服务中心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default" w:eastAsia="仿宋_GB2312"/>
          <w:spacing w:val="20"/>
          <w:sz w:val="32"/>
          <w:szCs w:val="32"/>
          <w:lang w:val="en-US"/>
        </w:rPr>
      </w:pPr>
      <w:r>
        <w:rPr>
          <w:rFonts w:hint="eastAsia" w:eastAsia="仿宋_GB2312"/>
          <w:sz w:val="32"/>
          <w:szCs w:val="32"/>
        </w:rPr>
        <w:t>预</w:t>
      </w:r>
      <w:r>
        <w:rPr>
          <w:rFonts w:hint="eastAsia" w:eastAsia="仿宋_GB2312"/>
          <w:spacing w:val="30"/>
          <w:sz w:val="32"/>
          <w:szCs w:val="32"/>
        </w:rPr>
        <w:t xml:space="preserve"> 算 编 码：</w:t>
      </w:r>
      <w:r>
        <w:rPr>
          <w:rFonts w:hint="eastAsia" w:eastAsia="仿宋_GB2312"/>
          <w:spacing w:val="30"/>
          <w:sz w:val="32"/>
          <w:szCs w:val="32"/>
          <w:lang w:val="en-US" w:eastAsia="zh-CN"/>
        </w:rPr>
        <w:t>301004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评价方式：部门（单位）绩效自评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评价机构：部门（单位）评价组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</w:t>
      </w:r>
      <w:r>
        <w:rPr>
          <w:rFonts w:hint="eastAsia" w:eastAsia="仿宋_GB2312"/>
          <w:sz w:val="32"/>
        </w:rPr>
        <w:t>报告日期</w:t>
      </w:r>
      <w:r>
        <w:rPr>
          <w:rFonts w:hint="eastAsia" w:eastAsia="仿宋_GB2312"/>
          <w:sz w:val="32"/>
          <w:lang w:eastAsia="zh-CN"/>
        </w:rPr>
        <w:t>：</w:t>
      </w:r>
      <w:r>
        <w:rPr>
          <w:rFonts w:hint="eastAsia" w:eastAsia="仿宋_GB2312"/>
          <w:sz w:val="32"/>
        </w:rPr>
        <w:t xml:space="preserve"> </w:t>
      </w:r>
      <w:r>
        <w:rPr>
          <w:rFonts w:hint="eastAsia" w:eastAsia="仿宋_GB2312"/>
          <w:sz w:val="32"/>
          <w:lang w:val="en-US" w:eastAsia="zh-CN"/>
        </w:rPr>
        <w:t>2024</w:t>
      </w:r>
      <w:r>
        <w:rPr>
          <w:rFonts w:hint="eastAsia" w:eastAsia="仿宋_GB2312"/>
          <w:sz w:val="32"/>
        </w:rPr>
        <w:t xml:space="preserve">年 </w:t>
      </w:r>
      <w:r>
        <w:rPr>
          <w:rFonts w:hint="eastAsia" w:eastAsia="仿宋_GB2312"/>
          <w:sz w:val="32"/>
          <w:lang w:val="en-US" w:eastAsia="zh-CN"/>
        </w:rPr>
        <w:t>5</w:t>
      </w:r>
      <w:r>
        <w:rPr>
          <w:rFonts w:hint="eastAsia" w:eastAsia="仿宋_GB2312"/>
          <w:sz w:val="32"/>
        </w:rPr>
        <w:t xml:space="preserve"> 月   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 w:val="0"/>
        <w:bidi w:val="0"/>
        <w:spacing w:line="560" w:lineRule="exact"/>
        <w:jc w:val="center"/>
        <w:textAlignment w:val="center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</w:t>
      </w:r>
      <w:r>
        <w:rPr>
          <w:rFonts w:hint="eastAsia" w:eastAsia="仿宋_GB2312"/>
          <w:sz w:val="32"/>
        </w:rPr>
        <w:t>岳阳市云溪财政</w:t>
      </w:r>
      <w:r>
        <w:rPr>
          <w:rFonts w:hint="eastAsia" w:eastAsia="仿宋_GB2312"/>
          <w:sz w:val="32"/>
          <w:szCs w:val="32"/>
        </w:rPr>
        <w:t>局（制）</w:t>
      </w:r>
    </w:p>
    <w:p>
      <w:pPr>
        <w:pStyle w:val="9"/>
        <w:rPr>
          <w:rFonts w:hint="eastAsia" w:eastAsia="仿宋_GB2312"/>
          <w:sz w:val="32"/>
          <w:szCs w:val="32"/>
        </w:rPr>
      </w:pPr>
    </w:p>
    <w:p>
      <w:pPr>
        <w:pStyle w:val="9"/>
        <w:rPr>
          <w:rFonts w:hint="eastAsia" w:eastAsia="仿宋_GB2312"/>
          <w:sz w:val="32"/>
          <w:szCs w:val="32"/>
        </w:rPr>
      </w:pPr>
    </w:p>
    <w:p>
      <w:pPr>
        <w:pStyle w:val="9"/>
        <w:rPr>
          <w:rFonts w:hint="eastAsia" w:eastAsia="仿宋_GB2312"/>
          <w:sz w:val="32"/>
          <w:szCs w:val="32"/>
        </w:rPr>
      </w:pPr>
    </w:p>
    <w:p>
      <w:pPr>
        <w:pStyle w:val="9"/>
        <w:rPr>
          <w:rFonts w:hint="eastAsia" w:eastAsia="仿宋_GB2312"/>
          <w:sz w:val="32"/>
          <w:szCs w:val="32"/>
        </w:rPr>
      </w:pPr>
    </w:p>
    <w:p>
      <w:pPr>
        <w:pStyle w:val="9"/>
        <w:rPr>
          <w:rFonts w:hint="eastAsia" w:eastAsia="仿宋_GB2312"/>
          <w:sz w:val="32"/>
          <w:szCs w:val="32"/>
        </w:rPr>
      </w:pPr>
    </w:p>
    <w:p>
      <w:pPr>
        <w:pStyle w:val="9"/>
        <w:rPr>
          <w:rFonts w:hint="eastAsia" w:eastAsia="仿宋_GB2312"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tbl>
      <w:tblPr>
        <w:tblStyle w:val="6"/>
        <w:tblW w:w="98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753"/>
        <w:gridCol w:w="780"/>
        <w:gridCol w:w="121"/>
        <w:gridCol w:w="824"/>
        <w:gridCol w:w="395"/>
        <w:gridCol w:w="1080"/>
        <w:gridCol w:w="5"/>
        <w:gridCol w:w="1257"/>
        <w:gridCol w:w="5"/>
        <w:gridCol w:w="5"/>
        <w:gridCol w:w="1158"/>
        <w:gridCol w:w="311"/>
        <w:gridCol w:w="422"/>
        <w:gridCol w:w="477"/>
        <w:gridCol w:w="155"/>
        <w:gridCol w:w="30"/>
        <w:gridCol w:w="325"/>
        <w:gridCol w:w="720"/>
        <w:gridCol w:w="9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9800" w:type="dxa"/>
            <w:gridSpan w:val="1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三、部门（单位）整体支出绩效自评情况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42" w:hRule="atLeast"/>
          <w:jc w:val="center"/>
        </w:trPr>
        <w:tc>
          <w:tcPr>
            <w:tcW w:w="75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12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08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年初预算</w:t>
            </w:r>
          </w:p>
        </w:tc>
        <w:tc>
          <w:tcPr>
            <w:tcW w:w="1262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全年预算数</w:t>
            </w:r>
          </w:p>
        </w:tc>
        <w:tc>
          <w:tcPr>
            <w:tcW w:w="2378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全年执行数</w:t>
            </w:r>
          </w:p>
        </w:tc>
        <w:tc>
          <w:tcPr>
            <w:tcW w:w="51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分值</w:t>
            </w: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执行率</w:t>
            </w:r>
          </w:p>
        </w:tc>
        <w:tc>
          <w:tcPr>
            <w:tcW w:w="97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得分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22" w:hRule="atLeast"/>
          <w:jc w:val="center"/>
        </w:trPr>
        <w:tc>
          <w:tcPr>
            <w:tcW w:w="753" w:type="dxa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498"/>
              </w:tabs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年度预算申请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240" w:lineRule="exact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（万元）</w:t>
            </w:r>
          </w:p>
        </w:tc>
        <w:tc>
          <w:tcPr>
            <w:tcW w:w="212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年度资金总额</w:t>
            </w:r>
          </w:p>
        </w:tc>
        <w:tc>
          <w:tcPr>
            <w:tcW w:w="108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219.26</w:t>
            </w:r>
          </w:p>
        </w:tc>
        <w:tc>
          <w:tcPr>
            <w:tcW w:w="1262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762.2</w:t>
            </w:r>
          </w:p>
        </w:tc>
        <w:tc>
          <w:tcPr>
            <w:tcW w:w="2378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762.2</w:t>
            </w:r>
          </w:p>
        </w:tc>
        <w:tc>
          <w:tcPr>
            <w:tcW w:w="51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97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37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按收入性质分：</w:t>
            </w:r>
          </w:p>
        </w:tc>
        <w:tc>
          <w:tcPr>
            <w:tcW w:w="4585" w:type="dxa"/>
            <w:gridSpan w:val="11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按支出性质分：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02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其中：一般公共预算：651.11</w:t>
            </w:r>
          </w:p>
        </w:tc>
        <w:tc>
          <w:tcPr>
            <w:tcW w:w="4585" w:type="dxa"/>
            <w:gridSpan w:val="11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其中：基本支出  152.87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90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 xml:space="preserve">     政府性基金拨款：</w:t>
            </w:r>
          </w:p>
        </w:tc>
        <w:tc>
          <w:tcPr>
            <w:tcW w:w="4585" w:type="dxa"/>
            <w:gridSpan w:val="11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 xml:space="preserve">      项目支出  609.32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22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纳入专户管理的非税收入拨款：</w:t>
            </w:r>
          </w:p>
        </w:tc>
        <w:tc>
          <w:tcPr>
            <w:tcW w:w="4585" w:type="dxa"/>
            <w:gridSpan w:val="11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7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 xml:space="preserve">     其他资金：111.09</w:t>
            </w:r>
          </w:p>
        </w:tc>
        <w:tc>
          <w:tcPr>
            <w:tcW w:w="4585" w:type="dxa"/>
            <w:gridSpan w:val="11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87" w:hRule="atLeast"/>
          <w:jc w:val="center"/>
        </w:trPr>
        <w:tc>
          <w:tcPr>
            <w:tcW w:w="75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年度总体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目标</w:t>
            </w:r>
          </w:p>
        </w:tc>
        <w:tc>
          <w:tcPr>
            <w:tcW w:w="4462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预期目标</w:t>
            </w:r>
          </w:p>
        </w:tc>
        <w:tc>
          <w:tcPr>
            <w:tcW w:w="4585" w:type="dxa"/>
            <w:gridSpan w:val="1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实际完成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27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24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4462" w:type="dxa"/>
            <w:gridSpan w:val="7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3" w:lineRule="atLeast"/>
              <w:ind w:right="0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（一）全面完成粮食生产任务。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3" w:lineRule="atLeast"/>
              <w:ind w:right="0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（二）按时发放各项惠农补贴。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3" w:lineRule="atLeast"/>
              <w:ind w:right="0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（三）持续推进化肥减量工作。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3" w:lineRule="atLeast"/>
              <w:ind w:right="0"/>
              <w:jc w:val="both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（四）超额完成农产品品牌创建工作。</w:t>
            </w:r>
          </w:p>
        </w:tc>
        <w:tc>
          <w:tcPr>
            <w:tcW w:w="4585" w:type="dxa"/>
            <w:gridSpan w:val="11"/>
            <w:tcBorders>
              <w:lef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3" w:lineRule="atLeast"/>
              <w:ind w:right="0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（一）全面完成粮食生产任务。全年完成粮食播种总面积共61536.86亩，早稻播种面积3604.23亩，粮食总产27064.83吨。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3" w:lineRule="atLeast"/>
              <w:ind w:right="0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（二）按时发放各项惠农补贴。发放2023年耕地保护补贴704.54万元，发放面积67099.13亩；农机购置补贴补贴机具129台，补贴资金 76.6299万元。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3" w:lineRule="atLeast"/>
              <w:ind w:right="0"/>
              <w:jc w:val="both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（三）持续推进化肥减量工作。全年推广测土配方施肥技术应用面积7.2万亩，种植绿肥2800万亩，有机肥使用9500亩。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3" w:lineRule="atLeast"/>
              <w:ind w:right="0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（四）超额完成农产品品牌创建工作。一是全面实施了“白泥湖螃蟹”国家地理标志农产品保护工程项目。二是完成了4个绿色食品认证和1个绿色食品续证。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3" w:lineRule="atLeast"/>
              <w:ind w:right="0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75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绩效指标</w:t>
            </w:r>
          </w:p>
        </w:tc>
        <w:tc>
          <w:tcPr>
            <w:tcW w:w="78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一级指标</w:t>
            </w:r>
          </w:p>
        </w:tc>
        <w:tc>
          <w:tcPr>
            <w:tcW w:w="945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二级指标</w:t>
            </w: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三级指标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年度指标</w:t>
            </w:r>
          </w:p>
        </w:tc>
        <w:tc>
          <w:tcPr>
            <w:tcW w:w="1163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实际完成值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分值</w:t>
            </w:r>
          </w:p>
        </w:tc>
        <w:tc>
          <w:tcPr>
            <w:tcW w:w="63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得分</w:t>
            </w:r>
          </w:p>
        </w:tc>
        <w:tc>
          <w:tcPr>
            <w:tcW w:w="2052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偏差原因分析及改进措施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产出目标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50分）</w:t>
            </w: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质量指标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三公经费控制率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100%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100%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政府采购执行率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100%</w:t>
            </w: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100%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固定资产利用率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100%</w:t>
            </w: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100%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数量指标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财政供养人员控制率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100%</w:t>
            </w: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100%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61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农产品定量检测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300批次</w:t>
            </w: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300批次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61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推广测土配方施肥技术应用面积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推广测土配方施肥技术应用面积</w:t>
            </w: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全年推广测土配方施肥技术应用面积7.2万亩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时效指标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资金给付及时性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资金及时到位</w:t>
            </w: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及时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项目完成时间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2023年12月31日之前</w:t>
            </w: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2023年12月31日之前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成本指标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财政预算收支完成率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效益目标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30分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社会效益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增加粮食播种面积及产量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稳步提升</w:t>
            </w: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稳步提升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经济效益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降低粮食生产成本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降低粮食生产成本</w:t>
            </w: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降低粮食生产成本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生态效益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减少农业用水，减少农业生产农药化肥用量，减少农村垃圾污染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显著</w:t>
            </w: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显著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42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满意度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10分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社会公众或服务对象满意度</w:t>
            </w:r>
          </w:p>
        </w:tc>
        <w:tc>
          <w:tcPr>
            <w:tcW w:w="1480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群众满意度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98%</w:t>
            </w:r>
          </w:p>
        </w:tc>
        <w:tc>
          <w:tcPr>
            <w:tcW w:w="115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98%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88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2478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绩效自评综合得分</w:t>
            </w:r>
          </w:p>
        </w:tc>
        <w:tc>
          <w:tcPr>
            <w:tcW w:w="7322" w:type="dxa"/>
            <w:gridSpan w:val="1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2478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评价等次</w:t>
            </w:r>
          </w:p>
        </w:tc>
        <w:tc>
          <w:tcPr>
            <w:tcW w:w="7322" w:type="dxa"/>
            <w:gridSpan w:val="1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9800" w:type="dxa"/>
            <w:gridSpan w:val="1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四、评价人员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职务/职称</w:t>
            </w:r>
          </w:p>
        </w:tc>
        <w:tc>
          <w:tcPr>
            <w:tcW w:w="1479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  位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签  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gridSpan w:val="4"/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云溪区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农业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综合服务中心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gridSpan w:val="4"/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云溪区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农业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综合服务中心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gridSpan w:val="4"/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云溪区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农业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综合服务中心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default" w:ascii="仿宋_GB2312" w:hAnsi="仿宋_GB2312" w:eastAsia="仿宋_GB2312" w:cs="仿宋_GB2312"/>
                <w:color w:val="000000"/>
                <w:sz w:val="24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gridSpan w:val="4"/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云溪区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农业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综合服务中心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" w:lineRule="atLeast"/>
              <w:ind w:left="0" w:leftChars="0" w:right="0" w:right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460" w:hRule="atLeast"/>
          <w:jc w:val="center"/>
        </w:trPr>
        <w:tc>
          <w:tcPr>
            <w:tcW w:w="9800" w:type="dxa"/>
            <w:gridSpan w:val="1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评价组组长（签字）：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190" w:hRule="atLeast"/>
          <w:jc w:val="center"/>
        </w:trPr>
        <w:tc>
          <w:tcPr>
            <w:tcW w:w="9800" w:type="dxa"/>
            <w:gridSpan w:val="1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部门（单位）意见：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部门（单位）负责人（签章）：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60" w:hRule="atLeast"/>
          <w:jc w:val="center"/>
        </w:trPr>
        <w:tc>
          <w:tcPr>
            <w:tcW w:w="9800" w:type="dxa"/>
            <w:gridSpan w:val="1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财政部门归口业务股室意见：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财政部门归口业务股室负责人（签章）：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                               年    月   日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 w:cs="仿宋_GB2312"/>
          <w:bCs/>
          <w:sz w:val="28"/>
          <w:szCs w:val="28"/>
        </w:rPr>
      </w:pPr>
      <w:r>
        <w:rPr>
          <w:rFonts w:hint="eastAsia" w:eastAsia="仿宋_GB2312" w:cs="仿宋_GB2312"/>
          <w:bCs/>
          <w:sz w:val="28"/>
          <w:szCs w:val="28"/>
        </w:rPr>
        <w:t>填报人（签名）：                          联系电话：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98" w:hRule="atLeast"/>
          <w:jc w:val="center"/>
        </w:trPr>
        <w:tc>
          <w:tcPr>
            <w:tcW w:w="955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bidi w:val="0"/>
              <w:spacing w:line="560" w:lineRule="exact"/>
              <w:jc w:val="center"/>
              <w:rPr>
                <w:rFonts w:hint="eastAsia"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五、评价报告综述</w:t>
            </w:r>
            <w:r>
              <w:rPr>
                <w:rFonts w:hint="eastAsia" w:eastAsia="仿宋_GB2312"/>
                <w:b/>
                <w:bCs/>
                <w:sz w:val="28"/>
                <w:szCs w:val="28"/>
              </w:rPr>
              <w:t>（</w:t>
            </w:r>
            <w:r>
              <w:rPr>
                <w:rFonts w:hint="eastAsia" w:eastAsia="仿宋_GB2312"/>
                <w:b/>
                <w:bCs/>
                <w:sz w:val="28"/>
                <w:szCs w:val="28"/>
                <w:lang w:eastAsia="zh-CN"/>
              </w:rPr>
              <w:t>参考提纲</w:t>
            </w:r>
            <w:r>
              <w:rPr>
                <w:rFonts w:hint="eastAsia" w:eastAsia="仿宋_GB2312"/>
                <w:b/>
                <w:bCs/>
                <w:sz w:val="28"/>
                <w:szCs w:val="28"/>
              </w:rPr>
              <w:t>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textAlignment w:val="auto"/>
              <w:rPr>
                <w:rFonts w:hint="eastAsia" w:eastAsia="仿宋_GB2312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</w:rPr>
              <w:t>一、部门（单位）概况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3" w:lineRule="atLeast"/>
              <w:ind w:left="0" w:right="0" w:firstLine="480"/>
              <w:jc w:val="both"/>
              <w:rPr>
                <w:rFonts w:hint="default" w:ascii="仿宋_GB2312" w:hAnsi="仿宋_GB2312" w:eastAsia="仿宋_GB2312" w:cs="仿宋_GB2312"/>
                <w:snapToGrid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  <w:lang w:val="en-US" w:eastAsia="zh-CN"/>
              </w:rPr>
              <w:t>区农业综合服务中心是区农业农村局二级机构，属于全额拨款的副科级事业单位。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  <w:t>根据编办核定，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  <w:lang w:val="en-US" w:eastAsia="zh-CN"/>
              </w:rPr>
              <w:t>农业综合服务中心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  <w:t>编制数为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  <w:lang w:val="en-US" w:eastAsia="zh-CN"/>
              </w:rPr>
              <w:t>12个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  <w:t>，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  <w:lang w:val="en-US" w:eastAsia="zh-CN"/>
              </w:rPr>
              <w:t>2023年末实际在编人数为10人。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二、一般公共预算支出情况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3" w:lineRule="atLeast"/>
              <w:ind w:left="0" w:right="0" w:firstLine="480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（一）基本支出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3" w:lineRule="atLeast"/>
              <w:ind w:left="0" w:right="0" w:firstLine="480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年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农业综合服务中心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基本支出共计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152.87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万元，其中用于人员支出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139.54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万元，公用支出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13.33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万元。公用支出中“三公”经费合计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0.47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万元，其中公务接待费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0.47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万元，公务用车购置费0万元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因公出国0万元。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3" w:lineRule="atLeast"/>
              <w:ind w:left="0" w:right="0" w:firstLine="480"/>
              <w:jc w:val="both"/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  <w:t>（二）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  <w:t>支出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3" w:lineRule="atLeast"/>
              <w:ind w:left="0" w:right="0" w:firstLine="480"/>
              <w:jc w:val="both"/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  <w:t>1、专项资金安排落实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  <w:lang w:val="en-US" w:eastAsia="zh-CN"/>
              </w:rPr>
              <w:t>与使用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  <w:t>情况分析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3" w:lineRule="atLeast"/>
              <w:ind w:left="0" w:right="0" w:firstLine="480"/>
              <w:jc w:val="both"/>
              <w:rPr>
                <w:rFonts w:hint="default" w:ascii="仿宋_GB2312" w:hAnsi="仿宋_GB2312" w:eastAsia="仿宋_GB2312" w:cs="仿宋_GB2312"/>
                <w:snapToGrid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年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农业综合服务中心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  <w:lang w:val="en-US" w:eastAsia="zh-CN"/>
              </w:rPr>
              <w:t>项目支出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  <w:t>共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  <w:lang w:val="en-US" w:eastAsia="zh-CN"/>
              </w:rPr>
              <w:t>498.24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  <w:t>万元。其中：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  <w:lang w:val="en-US" w:eastAsia="zh-CN"/>
              </w:rPr>
              <w:t>区级化肥减量增效50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  <w:t>万元、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  <w:lang w:val="en-US" w:eastAsia="zh-CN"/>
              </w:rPr>
              <w:t>区级农产品质量安全检测12万元、区级农技推广专项5万元。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3" w:lineRule="atLeast"/>
              <w:ind w:left="0" w:right="0" w:firstLine="480"/>
              <w:jc w:val="both"/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  <w:t>2、专项资金实际使用情况分析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3" w:lineRule="atLeast"/>
              <w:ind w:left="0" w:right="0" w:firstLine="480"/>
              <w:jc w:val="both"/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  <w:t>各专项资金使用情况及拨付情况较为及时，其中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  <w:lang w:val="en-US" w:eastAsia="zh-CN"/>
              </w:rPr>
              <w:t>耕地地力保护、实际种粮农民一次性补贴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  <w:lang w:eastAsia="zh-CN"/>
              </w:rPr>
              <w:t>、农机购置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  <w:t>等补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  <w:lang w:val="en-US" w:eastAsia="zh-CN"/>
              </w:rPr>
              <w:t>贴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  <w:t>资金由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  <w:lang w:val="en-US" w:eastAsia="zh-CN"/>
              </w:rPr>
              <w:t>区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  <w:t>财政及时打卡发放。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3" w:lineRule="atLeast"/>
              <w:ind w:left="0" w:right="0" w:firstLine="480"/>
              <w:jc w:val="both"/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  <w:t>3、专项资金管理情况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3" w:lineRule="atLeast"/>
              <w:ind w:left="0" w:right="0" w:firstLine="480"/>
              <w:jc w:val="both"/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  <w:t>为规范专项资金使用，提高专项资金使用效益，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  <w:lang w:val="en-US" w:eastAsia="zh-CN"/>
              </w:rPr>
              <w:t>农业综合服务中心</w:t>
            </w:r>
            <w:r>
              <w:rPr>
                <w:rFonts w:hint="eastAsia" w:ascii="仿宋_GB2312" w:hAnsi="仿宋_GB2312" w:eastAsia="仿宋_GB2312" w:cs="仿宋_GB2312"/>
                <w:snapToGrid w:val="0"/>
                <w:sz w:val="24"/>
                <w:szCs w:val="24"/>
              </w:rPr>
              <w:t>主要采取四项措施。一是制订专项资金管理制度；二是各专项资金建立了专帐；三是制订了项目实施方案；四是认真组织项目验收，专项资金都做到了专款专用。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default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三、政府性基金预算支出情况：无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default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四、国有资本经营预算支出情况：无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default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五、社会保险基金预算支出情况：无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六、部门整体支出绩效情况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>
                <w:bottom w:val="single" w:color="FFFFFF" w:sz="4" w:space="31"/>
              </w:pBdr>
              <w:tabs>
                <w:tab w:val="left" w:pos="1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Chars="0" w:firstLine="480" w:firstLineChars="200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年，在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eastAsia="zh-CN"/>
              </w:rPr>
              <w:t>区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委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eastAsia="zh-CN"/>
              </w:rPr>
              <w:t>区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政府的正确领导和上级主管部门的精心指导下，局领导班子带领全局上下，坚持以习近平新时代中国特色社会主义思想为指导，认真贯彻落实中央、省市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区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关于农业农村工作的一系列会议精神，“三农”工作持续向好发展。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>
                <w:bottom w:val="single" w:color="FFFFFF" w:sz="4" w:space="31"/>
              </w:pBdr>
              <w:tabs>
                <w:tab w:val="left" w:pos="1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Chars="0" w:firstLine="480" w:firstLineChars="200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全面完成粮食生产任务。全年完成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eastAsia="zh-CN"/>
              </w:rPr>
              <w:t>粮食播种总面积共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61536.86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亩，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eastAsia="zh-CN"/>
              </w:rPr>
              <w:t>早稻播种面积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3604.23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亩，粮食总产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27064.83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吨；超额完成市下达粮食作物播种5.4万亩，早稻3000亩，总产量1.7万吨任务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eastAsia="zh-CN"/>
              </w:rPr>
              <w:t>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落实大豆播种面积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3744.39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亩，油菜种植面积2.1489万亩，完成市定任务。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>
                <w:bottom w:val="single" w:color="FFFFFF" w:sz="4" w:space="31"/>
              </w:pBdr>
              <w:tabs>
                <w:tab w:val="left" w:pos="1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Chars="0" w:firstLine="480" w:firstLineChars="200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超额完成农产品品牌创建工作。一是全面实施了“白泥湖螃蟹”国家地理标志农产品保护工程项目。项目总投资400万元，于2023年11月6日顺利通过省级验收。二是完成了4个绿色食品认证和1个绿色食品续证。今年完成了白荆桥山茶油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、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稻花香米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、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鸿康茶油、大湖螃蟹4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个产品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eastAsia="zh-CN"/>
              </w:rPr>
              <w:t>的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</w:rPr>
              <w:t>绿色食品认证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；绿色食品认证云良稻香米今年已续展。三是开展年检工作。12月4-5日对我区白泥湖螃蟹、农家山茶油、梦里水乡大闸蟹、碧蓝之作稻虾米4家绿色食品开展年检工作，全部符合绿色食品生产条件，使用标识规范。四是进行了300批次农产品定量检测工作。7至11月份300批次产品已全部完成，并已出具产品检测报告。其中7月70批次、9月130批次、11月100批次，检测全部合格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>
                <w:bottom w:val="single" w:color="FFFFFF" w:sz="4" w:space="31"/>
              </w:pBdr>
              <w:tabs>
                <w:tab w:val="left" w:pos="1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Chars="0" w:firstLine="480" w:firstLineChars="200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>
                <w:bottom w:val="single" w:color="FFFFFF" w:sz="4" w:space="31"/>
              </w:pBdr>
              <w:tabs>
                <w:tab w:val="left" w:pos="1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Chars="0" w:firstLine="480" w:firstLineChars="200"/>
              <w:textAlignment w:val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七、存在的问题及原因分析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>
                <w:bottom w:val="single" w:color="FFFFFF" w:sz="4" w:space="31"/>
              </w:pBdr>
              <w:tabs>
                <w:tab w:val="left" w:pos="1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Chars="0" w:firstLine="480" w:firstLineChars="200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（一）农村产业类型单一。目前我区农村地区以第一产业为主，第二、三产业基础薄弱，多元化有所欠缺，村集体经济发展乏力，乡村经济活力不够。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>
                <w:bottom w:val="single" w:color="FFFFFF" w:sz="4" w:space="31"/>
              </w:pBdr>
              <w:tabs>
                <w:tab w:val="left" w:pos="1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Chars="0" w:firstLine="480" w:firstLineChars="200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 xml:space="preserve">（二）农业农村领域短板突出。农业面源污染线多面广管控难、农业规模化难、农业经济效益难以增长、抛荒治理难度大、“非粮化”治理难。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>
                <w:bottom w:val="single" w:color="FFFFFF" w:sz="4" w:space="31"/>
              </w:pBdr>
              <w:tabs>
                <w:tab w:val="left" w:pos="1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Chars="0" w:firstLine="480" w:firstLineChars="200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八、下一步改进措施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>
                <w:bottom w:val="single" w:color="FFFFFF" w:sz="4" w:space="31"/>
              </w:pBdr>
              <w:tabs>
                <w:tab w:val="left" w:pos="1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Chars="0" w:firstLine="480" w:firstLineChars="200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（一）进一步抓牢粮食稳产工作。抓好水稻种植，稳定粮食播种面积。同时，加大耕地抛荒治理力度，对水利条件较好的抛荒田做到应播尽播，对灌溉能力差或者无机耕路的抛荒田改种旱杂粮。加大病虫害监测力度，推广统防统治和绿色防控技术，提高粮食产能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>
                <w:bottom w:val="single" w:color="FFFFFF" w:sz="4" w:space="31"/>
              </w:pBdr>
              <w:tabs>
                <w:tab w:val="left" w:pos="1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Chars="0" w:firstLine="480" w:firstLineChars="200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（二）进一步推动绿色农业发展。加大农业面源污染治理力度，完成化肥农药减量硬任务，扛实抓好受污染耕地治理和安全利用。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>
                <w:bottom w:val="single" w:color="FFFFFF" w:sz="4" w:space="31"/>
              </w:pBdr>
              <w:tabs>
                <w:tab w:val="left" w:pos="1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Chars="0"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九、其他需要说明的情况</w:t>
            </w:r>
          </w:p>
        </w:tc>
      </w:tr>
    </w:tbl>
    <w:p/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rPr>
        <w:rStyle w:val="8"/>
        <w:sz w:val="24"/>
        <w:szCs w:val="24"/>
      </w:rPr>
    </w:pPr>
    <w:r>
      <w:rPr>
        <w:rStyle w:val="8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8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8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8"/>
        <w:rFonts w:hint="eastAsia"/>
        <w:sz w:val="24"/>
        <w:szCs w:val="24"/>
      </w:rPr>
      <w:t xml:space="preserve"> —</w:t>
    </w:r>
  </w:p>
  <w:p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framePr w:wrap="around" w:vAnchor="text" w:hAnchor="margin" w:xAlign="outside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rPr>
        <w:rStyle w:val="8"/>
        <w:sz w:val="24"/>
        <w:szCs w:val="24"/>
      </w:rPr>
    </w:pPr>
    <w:r>
      <w:rPr>
        <w:rStyle w:val="8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8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8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8"/>
        <w:rFonts w:hint="eastAsia"/>
        <w:sz w:val="24"/>
        <w:szCs w:val="24"/>
      </w:rPr>
      <w:t xml:space="preserve"> —</w:t>
    </w:r>
  </w:p>
  <w:p>
    <w:pPr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VjMDVkODljM2NiZDBhNjYyMWE4ODVmNjI0Yjc3NDgifQ=="/>
  </w:docVars>
  <w:rsids>
    <w:rsidRoot w:val="5C49247E"/>
    <w:rsid w:val="5C492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page number"/>
    <w:uiPriority w:val="0"/>
  </w:style>
  <w:style w:type="paragraph" w:customStyle="1" w:styleId="9">
    <w:name w:val="BodyText1I"/>
    <w:basedOn w:val="1"/>
    <w:qFormat/>
    <w:uiPriority w:val="99"/>
    <w:pPr>
      <w:snapToGrid w:val="0"/>
      <w:spacing w:line="360" w:lineRule="auto"/>
      <w:ind w:firstLine="420" w:firstLineChars="100"/>
    </w:pPr>
    <w:rPr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2024-09-10T09:30:00Z</dcterms:created>
  <dc:creator>叶</dc:creator>
  <cp:lastModifiedBy>叶</cp:lastModifiedBy>
  <dcterms:modified xsi:type="dcterms:W3CDTF">2024-09-10T09:35:51Z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2086DB5614D74D21A6A48A301309C9C1_11</vt:lpwstr>
  </property>
</Properties>
</file>