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65C38A">
      <w:pPr>
        <w:bidi w:val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附件2</w:t>
      </w:r>
    </w:p>
    <w:p w14:paraId="76E8BBBA"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部门整体支出绩效评价基础数据表</w:t>
      </w:r>
    </w:p>
    <w:p w14:paraId="2468B042">
      <w:pPr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ind w:left="91"/>
        <w:jc w:val="left"/>
        <w:rPr>
          <w:rFonts w:hint="eastAsia" w:eastAsia="仿宋_GB2312"/>
          <w:kern w:val="0"/>
          <w:sz w:val="24"/>
          <w:lang w:val="en-US" w:eastAsia="zh-CN"/>
        </w:rPr>
      </w:pPr>
      <w:r>
        <w:rPr>
          <w:rFonts w:hint="eastAsia" w:eastAsia="仿宋_GB2312"/>
          <w:kern w:val="0"/>
          <w:sz w:val="24"/>
          <w:lang w:val="en-US" w:eastAsia="zh-CN"/>
        </w:rPr>
        <w:t xml:space="preserve">填报单位：岳阳市云溪区物流发展服务中心                                   </w:t>
      </w:r>
    </w:p>
    <w:tbl>
      <w:tblPr>
        <w:tblStyle w:val="7"/>
        <w:tblW w:w="5425" w:type="pct"/>
        <w:tblInd w:w="-34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792"/>
        <w:gridCol w:w="1222"/>
        <w:gridCol w:w="925"/>
        <w:gridCol w:w="1325"/>
        <w:gridCol w:w="976"/>
        <w:gridCol w:w="1241"/>
      </w:tblGrid>
      <w:tr w14:paraId="4A416E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DE76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财政供养人员情况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B67B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编制数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5F12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2023年实际在职人数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4F5E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控制率</w:t>
            </w:r>
          </w:p>
        </w:tc>
      </w:tr>
      <w:tr w14:paraId="01B98D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87569D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157F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E6A7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75CE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</w:tc>
      </w:tr>
      <w:tr w14:paraId="3148DD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4704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经费控制情况(万元)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C571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2022年决算数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6898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2023年预算数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9FE7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2023年决算数</w:t>
            </w:r>
          </w:p>
        </w:tc>
      </w:tr>
      <w:tr w14:paraId="337EDF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92CA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三公经费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5652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  <w:t>4.05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9B25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39AC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9D5AE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3AB4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1、公务用车购置和维护经费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0657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  <w:t>4.05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110F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262F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1CBA9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D5AB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其中：公车购置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250D72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C7631B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FF79A7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FDCB4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DF43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公车运行维护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D3C3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  <w:t>4.05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4AE4C3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E96ED2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4760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4B5F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2、出国经费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ACD694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0C2854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599CCF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BECAC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11F3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3、公务接待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E3E775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3BC9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6349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E55FA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E49B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9E01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2B5B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41.22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E080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41.22</w:t>
            </w:r>
          </w:p>
        </w:tc>
      </w:tr>
      <w:tr w14:paraId="2AADEE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12E6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1、业务工作经费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049032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4FB25F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319591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B4FB1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7FA5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2、运行维护经费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3BCCA3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973D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41.22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BE2C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41.22</w:t>
            </w:r>
          </w:p>
        </w:tc>
      </w:tr>
      <w:tr w14:paraId="7ACB0D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C1861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3、本级专项资金（一个专项一行）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BE75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D50B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仿宋_GB2312" w:eastAsia="仿宋_GB2312"/>
                <w:color w:val="000000"/>
                <w:kern w:val="0"/>
                <w:szCs w:val="21"/>
                <w:lang w:val="en-US" w:eastAsia="zh-CN"/>
              </w:rPr>
              <w:t>00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B0F4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仿宋_GB2312" w:eastAsia="仿宋_GB2312"/>
                <w:color w:val="000000"/>
                <w:kern w:val="0"/>
                <w:szCs w:val="21"/>
                <w:lang w:val="en-US" w:eastAsia="zh-CN"/>
              </w:rPr>
              <w:t>00</w:t>
            </w:r>
          </w:p>
        </w:tc>
      </w:tr>
      <w:tr w14:paraId="6B042D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63CE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物流中心开办资金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9EC0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1A8E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4.92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CEDE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4.92</w:t>
            </w:r>
          </w:p>
        </w:tc>
      </w:tr>
      <w:tr w14:paraId="7CD4FF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C9A4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现代服务业物流创新发展项目资金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DF05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3493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15.52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2FE8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15.52</w:t>
            </w:r>
          </w:p>
        </w:tc>
      </w:tr>
      <w:tr w14:paraId="1F5FFE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F97A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云溪区城乡物流基础设施项目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6219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39FF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2.80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385B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2.80</w:t>
            </w:r>
          </w:p>
        </w:tc>
      </w:tr>
      <w:tr w14:paraId="6F2356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2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07EBE7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岳阳市云溪区现代物流业发展规划编制服务项目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7EB1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817F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17.98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E31F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17.98</w:t>
            </w:r>
          </w:p>
        </w:tc>
      </w:tr>
      <w:tr w14:paraId="74C5ED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4861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公用经费：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FDB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152.27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09DE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30.00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C0FF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30.00</w:t>
            </w:r>
          </w:p>
        </w:tc>
      </w:tr>
      <w:tr w14:paraId="1F7876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D53B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其中：办公经费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5E5E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4.71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5D6C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5.93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DF9F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5.93</w:t>
            </w:r>
          </w:p>
        </w:tc>
      </w:tr>
      <w:tr w14:paraId="236115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1C36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水费、电费、差旅费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EFF1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5.62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58B7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4.90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B888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4.90</w:t>
            </w:r>
          </w:p>
        </w:tc>
      </w:tr>
      <w:tr w14:paraId="21DB6F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9456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会议费、培训费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AFE0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0.10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4C0C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0.22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AB4C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0.22</w:t>
            </w:r>
          </w:p>
        </w:tc>
      </w:tr>
      <w:tr w14:paraId="1C6FA5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B9E0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政府采购金额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654C8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45E66F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61E59C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DA2B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D979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部门基本支出预算调整 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83B96C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FCCA80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44E36E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0F40C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DC6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楼堂馆所控制情况 </w:t>
            </w:r>
          </w:p>
          <w:p w14:paraId="4C43A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（2023年完工项目）</w:t>
            </w: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049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批复规模 </w:t>
            </w:r>
          </w:p>
          <w:p w14:paraId="4780E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791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实际规模</w:t>
            </w:r>
          </w:p>
          <w:p w14:paraId="5CE03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6395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规模控制率</w:t>
            </w: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1EC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预算投资</w:t>
            </w:r>
          </w:p>
          <w:p w14:paraId="02CBF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DD3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实际投资</w:t>
            </w:r>
          </w:p>
          <w:p w14:paraId="63DA9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56EE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投资概算控制率</w:t>
            </w:r>
          </w:p>
        </w:tc>
      </w:tr>
      <w:tr w14:paraId="25C0D0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AAFBE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E7DB56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F1E481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969D93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7A65BE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C63057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7912EA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20263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0049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厉行节约保障措施</w:t>
            </w:r>
          </w:p>
        </w:tc>
        <w:tc>
          <w:tcPr>
            <w:tcW w:w="3338" w:type="pct"/>
            <w:gridSpan w:val="6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0D4CCD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5F426A5D">
      <w:pPr>
        <w:pStyle w:val="1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eastAsia="仿宋_GB2312"/>
          <w:kern w:val="0"/>
          <w:sz w:val="22"/>
        </w:rPr>
      </w:pPr>
    </w:p>
    <w:p w14:paraId="189467A6">
      <w:pPr>
        <w:pStyle w:val="1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hint="eastAsia"/>
          <w:lang w:val="en-US" w:eastAsia="zh-CN"/>
        </w:rPr>
      </w:pPr>
      <w:r>
        <w:rPr>
          <w:rFonts w:eastAsia="仿宋_GB2312"/>
          <w:kern w:val="0"/>
          <w:sz w:val="22"/>
        </w:rPr>
        <w:t>说明：“项目支出”需要填报基本支出以外的所有项目支出情况，“公用经费”填报基本支出中的一般商品和服务支出。</w:t>
      </w:r>
    </w:p>
    <w:p w14:paraId="02E0266D">
      <w:pPr>
        <w:widowControl w:val="0"/>
        <w:kinsoku/>
        <w:autoSpaceDE/>
        <w:autoSpaceDN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填表人：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填报日期：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联系电话：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单位负责人签字：</w:t>
      </w:r>
    </w:p>
    <w:p w14:paraId="2D584CB7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 w14:paraId="06B17A01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3-1</w:t>
      </w:r>
      <w:r>
        <w:rPr>
          <w:rFonts w:hint="eastAsia" w:ascii="黑体" w:hAnsi="黑体" w:eastAsia="黑体" w:cs="黑体"/>
          <w:bCs/>
          <w:sz w:val="32"/>
          <w:szCs w:val="32"/>
        </w:rPr>
        <w:t>：</w:t>
      </w:r>
    </w:p>
    <w:p w14:paraId="0E82B56B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</w:p>
    <w:p w14:paraId="488F1E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岳阳市云溪区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</w:rPr>
        <w:t>20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  <w:lang w:val="en-US" w:eastAsia="zh-CN"/>
        </w:rPr>
        <w:t>23</w:t>
      </w:r>
      <w:r>
        <w:rPr>
          <w:rFonts w:hint="eastAsia" w:ascii="宋体" w:hAnsi="宋体" w:eastAsia="宋体" w:cs="宋体"/>
          <w:b/>
          <w:bCs w:val="0"/>
          <w:sz w:val="46"/>
          <w:szCs w:val="46"/>
        </w:rPr>
        <w:t>年度部门整体支出</w:t>
      </w:r>
    </w:p>
    <w:p w14:paraId="60BEE1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绩效评价自评报告</w:t>
      </w:r>
    </w:p>
    <w:p w14:paraId="1AEB5BE4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 w14:paraId="62523F44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  <w:r>
        <w:rPr>
          <w:rFonts w:hint="eastAsia" w:eastAsia="仿宋_GB2312"/>
          <w:b/>
          <w:sz w:val="32"/>
          <w:lang w:val="en-US" w:eastAsia="zh-CN"/>
        </w:rPr>
        <w:t xml:space="preserve"> </w:t>
      </w:r>
    </w:p>
    <w:p w14:paraId="4D07D26F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 w14:paraId="5B9F5EEF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 w14:paraId="09E24B0C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 w14:paraId="752F80FD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>部门(单位)名称：</w:t>
      </w:r>
      <w:r>
        <w:rPr>
          <w:rFonts w:hint="eastAsia" w:eastAsia="仿宋_GB2312"/>
          <w:sz w:val="32"/>
          <w:szCs w:val="32"/>
          <w:u w:val="single"/>
        </w:rPr>
        <w:t xml:space="preserve"> </w:t>
      </w:r>
      <w:r>
        <w:rPr>
          <w:rFonts w:hint="eastAsia" w:eastAsia="仿宋_GB2312"/>
          <w:sz w:val="32"/>
          <w:szCs w:val="32"/>
          <w:u w:val="single"/>
          <w:lang w:eastAsia="zh-CN"/>
        </w:rPr>
        <w:t>岳阳市云溪区物流发展服务中心</w:t>
      </w:r>
      <w:r>
        <w:rPr>
          <w:rFonts w:hint="eastAsia" w:eastAsia="仿宋_GB2312"/>
          <w:sz w:val="32"/>
          <w:szCs w:val="32"/>
          <w:u w:val="single"/>
        </w:rPr>
        <w:t xml:space="preserve">                       </w:t>
      </w:r>
    </w:p>
    <w:p w14:paraId="3F93C19B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pacing w:val="20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预</w:t>
      </w:r>
      <w:r>
        <w:rPr>
          <w:rFonts w:hint="eastAsia" w:eastAsia="仿宋_GB2312"/>
          <w:spacing w:val="30"/>
          <w:sz w:val="32"/>
          <w:szCs w:val="32"/>
        </w:rPr>
        <w:t xml:space="preserve"> 算 编 码：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  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>405001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            </w:t>
      </w:r>
    </w:p>
    <w:p w14:paraId="22A60D0F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评价方式：部门（单位）绩效自评</w:t>
      </w:r>
    </w:p>
    <w:p w14:paraId="6AAA2A0F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评价机构：部门（单位）评价组   </w:t>
      </w:r>
    </w:p>
    <w:p w14:paraId="772A20F9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 w14:paraId="3CDC4CB2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 w14:paraId="15EDB4D2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 w14:paraId="0F38E78F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</w:p>
    <w:p w14:paraId="22459657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 </w:t>
      </w:r>
      <w:r>
        <w:rPr>
          <w:rFonts w:hint="eastAsia" w:eastAsia="仿宋_GB2312"/>
          <w:sz w:val="32"/>
        </w:rPr>
        <w:t>报告日期：</w:t>
      </w:r>
      <w:r>
        <w:rPr>
          <w:rFonts w:hint="eastAsia" w:eastAsia="仿宋_GB2312"/>
          <w:sz w:val="32"/>
          <w:lang w:val="en-US" w:eastAsia="zh-CN"/>
        </w:rPr>
        <w:t>2024</w:t>
      </w:r>
      <w:r>
        <w:rPr>
          <w:rFonts w:hint="eastAsia" w:eastAsia="仿宋_GB2312"/>
          <w:sz w:val="32"/>
        </w:rPr>
        <w:t xml:space="preserve"> 年 </w:t>
      </w:r>
      <w:r>
        <w:rPr>
          <w:rFonts w:hint="eastAsia" w:eastAsia="仿宋_GB2312"/>
          <w:sz w:val="32"/>
          <w:lang w:val="en-US" w:eastAsia="zh-CN"/>
        </w:rPr>
        <w:t>5</w:t>
      </w:r>
      <w:r>
        <w:rPr>
          <w:rFonts w:hint="eastAsia" w:eastAsia="仿宋_GB2312"/>
          <w:sz w:val="32"/>
        </w:rPr>
        <w:t xml:space="preserve">  月 </w:t>
      </w:r>
      <w:r>
        <w:rPr>
          <w:rFonts w:hint="eastAsia" w:eastAsia="仿宋_GB2312"/>
          <w:sz w:val="32"/>
          <w:lang w:val="en-US" w:eastAsia="zh-CN"/>
        </w:rPr>
        <w:t>30</w:t>
      </w:r>
      <w:r>
        <w:rPr>
          <w:rFonts w:hint="eastAsia" w:eastAsia="仿宋_GB2312"/>
          <w:sz w:val="32"/>
        </w:rPr>
        <w:t xml:space="preserve">  日</w:t>
      </w:r>
    </w:p>
    <w:p w14:paraId="067C6765">
      <w:pPr>
        <w:keepNext w:val="0"/>
        <w:keepLines w:val="0"/>
        <w:pageBreakBefore w:val="0"/>
        <w:kinsoku/>
        <w:overflowPunct/>
        <w:topLinePunct w:val="0"/>
        <w:autoSpaceDE/>
        <w:autoSpaceDN w:val="0"/>
        <w:bidi w:val="0"/>
        <w:spacing w:line="560" w:lineRule="exact"/>
        <w:jc w:val="center"/>
        <w:textAlignment w:val="center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    </w:t>
      </w:r>
      <w:r>
        <w:rPr>
          <w:rFonts w:hint="eastAsia" w:eastAsia="仿宋_GB2312"/>
          <w:sz w:val="32"/>
        </w:rPr>
        <w:t>岳阳市云溪区物流发展服务中心</w:t>
      </w:r>
      <w:r>
        <w:rPr>
          <w:rFonts w:hint="eastAsia" w:eastAsia="仿宋_GB2312"/>
          <w:sz w:val="32"/>
          <w:szCs w:val="32"/>
        </w:rPr>
        <w:t>（制）</w:t>
      </w:r>
    </w:p>
    <w:p w14:paraId="5850A509">
      <w:pPr>
        <w:pStyle w:val="12"/>
        <w:rPr>
          <w:rFonts w:hint="eastAsia" w:eastAsia="仿宋_GB2312"/>
          <w:sz w:val="32"/>
          <w:szCs w:val="32"/>
        </w:rPr>
      </w:pPr>
    </w:p>
    <w:p w14:paraId="37419228">
      <w:pPr>
        <w:pStyle w:val="12"/>
        <w:rPr>
          <w:rFonts w:hint="eastAsia" w:eastAsia="仿宋_GB2312"/>
          <w:sz w:val="32"/>
          <w:szCs w:val="32"/>
        </w:rPr>
      </w:pPr>
    </w:p>
    <w:p w14:paraId="40875F46">
      <w:pPr>
        <w:pStyle w:val="12"/>
        <w:rPr>
          <w:rFonts w:hint="eastAsia" w:eastAsia="仿宋_GB2312"/>
          <w:sz w:val="32"/>
          <w:szCs w:val="32"/>
        </w:rPr>
      </w:pPr>
    </w:p>
    <w:p w14:paraId="767A33DF">
      <w:pPr>
        <w:pStyle w:val="12"/>
        <w:rPr>
          <w:rFonts w:hint="eastAsia" w:eastAsia="仿宋_GB2312"/>
          <w:sz w:val="32"/>
          <w:szCs w:val="32"/>
        </w:rPr>
      </w:pPr>
    </w:p>
    <w:p w14:paraId="2B3E6499">
      <w:pPr>
        <w:pStyle w:val="12"/>
        <w:rPr>
          <w:rFonts w:hint="eastAsia" w:eastAsia="仿宋_GB2312"/>
          <w:sz w:val="32"/>
          <w:szCs w:val="32"/>
        </w:rPr>
      </w:pPr>
    </w:p>
    <w:p w14:paraId="635EDFF6">
      <w:pPr>
        <w:pStyle w:val="12"/>
        <w:rPr>
          <w:rFonts w:hint="eastAsia" w:eastAsia="仿宋_GB2312"/>
          <w:sz w:val="32"/>
          <w:szCs w:val="32"/>
        </w:rPr>
        <w:sectPr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 w14:paraId="503D3526"/>
    <w:p w14:paraId="15C6BD7A"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整体支出绩效自评表</w:t>
      </w:r>
    </w:p>
    <w:tbl>
      <w:tblPr>
        <w:tblStyle w:val="7"/>
        <w:tblW w:w="537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4"/>
        <w:gridCol w:w="856"/>
        <w:gridCol w:w="887"/>
        <w:gridCol w:w="412"/>
        <w:gridCol w:w="913"/>
        <w:gridCol w:w="575"/>
        <w:gridCol w:w="478"/>
        <w:gridCol w:w="797"/>
        <w:gridCol w:w="153"/>
        <w:gridCol w:w="697"/>
        <w:gridCol w:w="647"/>
        <w:gridCol w:w="53"/>
        <w:gridCol w:w="952"/>
        <w:gridCol w:w="1096"/>
        <w:gridCol w:w="21"/>
      </w:tblGrid>
      <w:tr w14:paraId="6BD8CF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pct"/>
          <w:trHeight w:val="764" w:hRule="atLeast"/>
        </w:trPr>
        <w:tc>
          <w:tcPr>
            <w:tcW w:w="80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8DCA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预算部门名称</w:t>
            </w:r>
          </w:p>
        </w:tc>
        <w:tc>
          <w:tcPr>
            <w:tcW w:w="4180" w:type="pct"/>
            <w:gridSpan w:val="1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FB65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岳阳市云溪区物流发展服务中心</w:t>
            </w:r>
          </w:p>
        </w:tc>
      </w:tr>
      <w:tr w14:paraId="15265B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pct"/>
          <w:trHeight w:val="480" w:hRule="atLeast"/>
        </w:trPr>
        <w:tc>
          <w:tcPr>
            <w:tcW w:w="807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D54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年度预算申请</w:t>
            </w:r>
          </w:p>
          <w:p w14:paraId="4D8AB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(万元)</w:t>
            </w:r>
          </w:p>
        </w:tc>
        <w:tc>
          <w:tcPr>
            <w:tcW w:w="708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7FE0D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C34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年初预算数(万元)</w:t>
            </w:r>
          </w:p>
        </w:tc>
        <w:tc>
          <w:tcPr>
            <w:tcW w:w="574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624B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全年预算数（万元）</w:t>
            </w:r>
          </w:p>
        </w:tc>
        <w:tc>
          <w:tcPr>
            <w:tcW w:w="51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7EA9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全年执行数（万元）</w:t>
            </w:r>
          </w:p>
        </w:tc>
        <w:tc>
          <w:tcPr>
            <w:tcW w:w="73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459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548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753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5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265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 w14:paraId="689EAA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pct"/>
          <w:trHeight w:val="576" w:hRule="atLeast"/>
        </w:trPr>
        <w:tc>
          <w:tcPr>
            <w:tcW w:w="807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B5573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8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E88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年度资金总额：</w:t>
            </w:r>
          </w:p>
        </w:tc>
        <w:tc>
          <w:tcPr>
            <w:tcW w:w="9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AA6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46.63</w:t>
            </w:r>
          </w:p>
        </w:tc>
        <w:tc>
          <w:tcPr>
            <w:tcW w:w="105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0A6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127.29</w:t>
            </w:r>
          </w:p>
        </w:tc>
        <w:tc>
          <w:tcPr>
            <w:tcW w:w="95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36A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127.29</w:t>
            </w:r>
          </w:p>
        </w:tc>
        <w:tc>
          <w:tcPr>
            <w:tcW w:w="1344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30D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005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496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100.00%</w:t>
            </w:r>
          </w:p>
        </w:tc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571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10.00</w:t>
            </w:r>
          </w:p>
        </w:tc>
      </w:tr>
      <w:tr w14:paraId="6289D3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pct"/>
          <w:trHeight w:val="534" w:hRule="atLeast"/>
        </w:trPr>
        <w:tc>
          <w:tcPr>
            <w:tcW w:w="807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5CA71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00" w:type="pct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FCBE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按收入性质分：</w:t>
            </w:r>
          </w:p>
        </w:tc>
        <w:tc>
          <w:tcPr>
            <w:tcW w:w="1880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6391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按支出性质分：</w:t>
            </w:r>
          </w:p>
        </w:tc>
      </w:tr>
      <w:tr w14:paraId="3EA017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pct"/>
          <w:trHeight w:val="744" w:hRule="atLeast"/>
        </w:trPr>
        <w:tc>
          <w:tcPr>
            <w:tcW w:w="807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EDB64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8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401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一般公共预算：</w:t>
            </w:r>
          </w:p>
        </w:tc>
        <w:tc>
          <w:tcPr>
            <w:tcW w:w="1591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670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122.33</w:t>
            </w:r>
          </w:p>
        </w:tc>
        <w:tc>
          <w:tcPr>
            <w:tcW w:w="733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EB6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其中:基本支出：</w:t>
            </w:r>
          </w:p>
        </w:tc>
        <w:tc>
          <w:tcPr>
            <w:tcW w:w="2101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AB18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86.07</w:t>
            </w:r>
          </w:p>
        </w:tc>
      </w:tr>
      <w:tr w14:paraId="696C65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pct"/>
          <w:trHeight w:val="528" w:hRule="atLeast"/>
        </w:trPr>
        <w:tc>
          <w:tcPr>
            <w:tcW w:w="807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5B8EA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8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D2D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政府性基金拨款：</w:t>
            </w:r>
          </w:p>
        </w:tc>
        <w:tc>
          <w:tcPr>
            <w:tcW w:w="1591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BB4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3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BDADEA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6" w:type="pct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063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EA9C0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pct"/>
          <w:trHeight w:val="552" w:hRule="atLeast"/>
        </w:trPr>
        <w:tc>
          <w:tcPr>
            <w:tcW w:w="807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B715C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8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E1F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纳入专户管理的非税收入拨款：</w:t>
            </w:r>
          </w:p>
        </w:tc>
        <w:tc>
          <w:tcPr>
            <w:tcW w:w="1591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346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</w:t>
            </w:r>
          </w:p>
        </w:tc>
        <w:tc>
          <w:tcPr>
            <w:tcW w:w="733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08B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2101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B4D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41.22</w:t>
            </w:r>
          </w:p>
        </w:tc>
      </w:tr>
      <w:tr w14:paraId="26DCDD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pct"/>
          <w:trHeight w:val="708" w:hRule="atLeast"/>
        </w:trPr>
        <w:tc>
          <w:tcPr>
            <w:tcW w:w="807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D84C1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8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766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其他资金</w:t>
            </w:r>
          </w:p>
        </w:tc>
        <w:tc>
          <w:tcPr>
            <w:tcW w:w="1591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5A3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4.96</w:t>
            </w:r>
          </w:p>
        </w:tc>
        <w:tc>
          <w:tcPr>
            <w:tcW w:w="733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90C45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6" w:type="pct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D7920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C7301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pct"/>
          <w:trHeight w:val="672" w:hRule="atLeast"/>
        </w:trPr>
        <w:tc>
          <w:tcPr>
            <w:tcW w:w="807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BB3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2300" w:type="pct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978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1880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974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 w14:paraId="78A28C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pct"/>
          <w:trHeight w:val="1467" w:hRule="atLeast"/>
        </w:trPr>
        <w:tc>
          <w:tcPr>
            <w:tcW w:w="807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A6278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00" w:type="pct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9ED1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1.建章立制，强化组织保障。</w:t>
            </w:r>
          </w:p>
          <w:p w14:paraId="7F336B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2.摸底调查，夯实数据支撑。</w:t>
            </w:r>
          </w:p>
          <w:p w14:paraId="1E0B0E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3.绘制蓝图，注重规划引领。</w:t>
            </w:r>
          </w:p>
          <w:p w14:paraId="2C7EBA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4.推进项目，完善体系建设。</w:t>
            </w:r>
          </w:p>
          <w:p w14:paraId="0B981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5.服务企业，优化营商环境。</w:t>
            </w:r>
          </w:p>
          <w:p w14:paraId="5F9301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6.争资立项，聚焦中心工作。</w:t>
            </w:r>
          </w:p>
        </w:tc>
        <w:tc>
          <w:tcPr>
            <w:tcW w:w="1880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026F9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已按计划完成</w:t>
            </w:r>
          </w:p>
        </w:tc>
      </w:tr>
      <w:tr w14:paraId="4CD787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340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501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67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D32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484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1677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1037" w:type="pct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470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695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45B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463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4BE0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382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BD5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519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D0A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609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479B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 w14:paraId="3728F7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340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C5B32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7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7B596B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88CB15C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7" w:type="pct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9F54EA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AF8CDB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3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CECA2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2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EA492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9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6E9E0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9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0D48BB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F73D5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340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E5B9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67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E08F8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48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BF564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900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2F7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设立物流产业发展专项引导资金</w:t>
            </w:r>
          </w:p>
        </w:tc>
        <w:tc>
          <w:tcPr>
            <w:tcW w:w="1275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EDA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≥200万元</w:t>
            </w:r>
          </w:p>
        </w:tc>
        <w:tc>
          <w:tcPr>
            <w:tcW w:w="85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62F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200万元</w:t>
            </w:r>
          </w:p>
        </w:tc>
        <w:tc>
          <w:tcPr>
            <w:tcW w:w="70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6F4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C30D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09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7F2557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E25E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340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920AEC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7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59ACAA3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2680A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900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C2E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项目验收率</w:t>
            </w:r>
          </w:p>
        </w:tc>
        <w:tc>
          <w:tcPr>
            <w:tcW w:w="1275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073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85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676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70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493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6604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09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9DB6BC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07444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340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45365F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7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686C5EF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6F7A2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900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C6A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任务完成时间</w:t>
            </w:r>
          </w:p>
        </w:tc>
        <w:tc>
          <w:tcPr>
            <w:tcW w:w="1275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730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2023年12月31日之前</w:t>
            </w:r>
          </w:p>
        </w:tc>
        <w:tc>
          <w:tcPr>
            <w:tcW w:w="85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C59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2023年12月31日之前</w:t>
            </w:r>
          </w:p>
        </w:tc>
        <w:tc>
          <w:tcPr>
            <w:tcW w:w="70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A9C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52B0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09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4D9229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57958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340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41AD1E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7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61646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48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12DBD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1900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0BF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争取物流引导奖补资金</w:t>
            </w:r>
          </w:p>
        </w:tc>
        <w:tc>
          <w:tcPr>
            <w:tcW w:w="1275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B7C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≥40万元</w:t>
            </w:r>
          </w:p>
        </w:tc>
        <w:tc>
          <w:tcPr>
            <w:tcW w:w="85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50C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40万元</w:t>
            </w:r>
          </w:p>
        </w:tc>
        <w:tc>
          <w:tcPr>
            <w:tcW w:w="70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EEE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F55E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609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E18EEB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39BA4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340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655383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7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A93F69D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9B4C7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1900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B48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提升物流运输效率</w:t>
            </w:r>
          </w:p>
        </w:tc>
        <w:tc>
          <w:tcPr>
            <w:tcW w:w="1275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FB2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</w:t>
            </w:r>
          </w:p>
        </w:tc>
        <w:tc>
          <w:tcPr>
            <w:tcW w:w="85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752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</w:t>
            </w:r>
          </w:p>
        </w:tc>
        <w:tc>
          <w:tcPr>
            <w:tcW w:w="70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586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8681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609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4174D4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AA31A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340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3962F1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7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0511312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369BE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生态效益指标</w:t>
            </w:r>
          </w:p>
        </w:tc>
        <w:tc>
          <w:tcPr>
            <w:tcW w:w="1900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712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BC1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4C3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B83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3B07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9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ED62DB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B893B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340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FD6E36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7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AC0E7E2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166B2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1037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39AEA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7BA92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488CF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AA4EF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D93BEA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9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59C28D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683D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340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39B67C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6E7E7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48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E538E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1900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7C0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群众满意度</w:t>
            </w:r>
          </w:p>
        </w:tc>
        <w:tc>
          <w:tcPr>
            <w:tcW w:w="1275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E96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85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81B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70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6C5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E854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09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D453CA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4BE03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340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F11A10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7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29057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48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28CEA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经济成本指标</w:t>
            </w:r>
          </w:p>
        </w:tc>
        <w:tc>
          <w:tcPr>
            <w:tcW w:w="1900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EBF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预算控制数</w:t>
            </w:r>
          </w:p>
        </w:tc>
        <w:tc>
          <w:tcPr>
            <w:tcW w:w="1275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E52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≤127.29万元</w:t>
            </w:r>
          </w:p>
        </w:tc>
        <w:tc>
          <w:tcPr>
            <w:tcW w:w="85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798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127.29万元</w:t>
            </w:r>
          </w:p>
        </w:tc>
        <w:tc>
          <w:tcPr>
            <w:tcW w:w="70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78C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E44F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609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0D8F82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276CC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340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7132FF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7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6EE81BC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F38BE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社会成本指标</w:t>
            </w:r>
          </w:p>
        </w:tc>
        <w:tc>
          <w:tcPr>
            <w:tcW w:w="1037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25A38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5D065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45DE0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A40C8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C8AFEA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9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86DBD4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D7C24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340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0872A4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7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0265669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365DF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生态环境成本指标</w:t>
            </w:r>
          </w:p>
        </w:tc>
        <w:tc>
          <w:tcPr>
            <w:tcW w:w="1037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49EBA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4A810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829DD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E5727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7B44E5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9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8FA9FE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37815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29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E95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绩效自评综合得分</w:t>
            </w:r>
          </w:p>
        </w:tc>
        <w:tc>
          <w:tcPr>
            <w:tcW w:w="3708" w:type="pct"/>
            <w:gridSpan w:val="1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A2BA23"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100分</w:t>
            </w:r>
          </w:p>
        </w:tc>
      </w:tr>
      <w:tr w14:paraId="402610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29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728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评价等次</w:t>
            </w:r>
          </w:p>
        </w:tc>
        <w:tc>
          <w:tcPr>
            <w:tcW w:w="3708" w:type="pct"/>
            <w:gridSpan w:val="1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35FDE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优</w:t>
            </w:r>
          </w:p>
        </w:tc>
      </w:tr>
    </w:tbl>
    <w:p w14:paraId="65F38624">
      <w:pPr>
        <w:pStyle w:val="10"/>
      </w:pPr>
    </w:p>
    <w:p w14:paraId="43B05C17">
      <w:pPr>
        <w:pStyle w:val="10"/>
      </w:pPr>
    </w:p>
    <w:p w14:paraId="7DB8789E">
      <w:pPr>
        <w:pStyle w:val="10"/>
      </w:pPr>
    </w:p>
    <w:p w14:paraId="7A670A88">
      <w:pPr>
        <w:pStyle w:val="10"/>
      </w:pPr>
    </w:p>
    <w:p w14:paraId="73DA3228">
      <w:pPr>
        <w:pStyle w:val="10"/>
      </w:pPr>
    </w:p>
    <w:p w14:paraId="5EA491C3">
      <w:pPr>
        <w:pStyle w:val="10"/>
      </w:pPr>
    </w:p>
    <w:p w14:paraId="722C2DAF">
      <w:pPr>
        <w:pStyle w:val="10"/>
      </w:pPr>
    </w:p>
    <w:p w14:paraId="2AF42243">
      <w:pPr>
        <w:pStyle w:val="10"/>
      </w:pPr>
    </w:p>
    <w:p w14:paraId="3DF00CD1">
      <w:pPr>
        <w:pStyle w:val="10"/>
      </w:pPr>
    </w:p>
    <w:p w14:paraId="53416F97">
      <w:pPr>
        <w:pStyle w:val="10"/>
      </w:pPr>
    </w:p>
    <w:p w14:paraId="735FCB07">
      <w:pPr>
        <w:pStyle w:val="10"/>
      </w:pPr>
    </w:p>
    <w:p w14:paraId="26910A8B">
      <w:pPr>
        <w:pStyle w:val="10"/>
        <w:ind w:left="0" w:leftChars="0" w:firstLine="0" w:firstLineChars="0"/>
      </w:pPr>
    </w:p>
    <w:tbl>
      <w:tblPr>
        <w:tblStyle w:val="7"/>
        <w:tblW w:w="980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1654"/>
        <w:gridCol w:w="3561"/>
        <w:gridCol w:w="1479"/>
        <w:gridCol w:w="3106"/>
      </w:tblGrid>
      <w:tr w14:paraId="50783B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 w14:paraId="318746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四、评价人员</w:t>
            </w:r>
          </w:p>
        </w:tc>
      </w:tr>
      <w:tr w14:paraId="437EC4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654" w:type="dxa"/>
            <w:noWrap w:val="0"/>
            <w:vAlign w:val="center"/>
          </w:tcPr>
          <w:p w14:paraId="4D163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  名</w:t>
            </w:r>
          </w:p>
        </w:tc>
        <w:tc>
          <w:tcPr>
            <w:tcW w:w="3561" w:type="dxa"/>
            <w:noWrap w:val="0"/>
            <w:vAlign w:val="center"/>
          </w:tcPr>
          <w:p w14:paraId="40D348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职务/职称</w:t>
            </w:r>
          </w:p>
        </w:tc>
        <w:tc>
          <w:tcPr>
            <w:tcW w:w="1479" w:type="dxa"/>
            <w:noWrap w:val="0"/>
            <w:vAlign w:val="center"/>
          </w:tcPr>
          <w:p w14:paraId="53E8C1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单  位</w:t>
            </w:r>
          </w:p>
        </w:tc>
        <w:tc>
          <w:tcPr>
            <w:tcW w:w="3106" w:type="dxa"/>
            <w:noWrap w:val="0"/>
            <w:vAlign w:val="center"/>
          </w:tcPr>
          <w:p w14:paraId="1AC42A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签  字</w:t>
            </w:r>
          </w:p>
        </w:tc>
      </w:tr>
      <w:tr w14:paraId="6E3BBA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 w14:paraId="3F5D2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 w14:paraId="21D8F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</w:p>
        </w:tc>
        <w:tc>
          <w:tcPr>
            <w:tcW w:w="1479" w:type="dxa"/>
            <w:noWrap w:val="0"/>
            <w:vAlign w:val="center"/>
          </w:tcPr>
          <w:p w14:paraId="0653AE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 w14:paraId="34470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097FB3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 w14:paraId="4EE2E9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 w14:paraId="36C451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 w14:paraId="67EE23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 w14:paraId="569265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1516BB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 w14:paraId="1E95C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 w14:paraId="33BB97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 w14:paraId="3CE17F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 w14:paraId="54553D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2839C5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 w14:paraId="20AE5F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 w14:paraId="1C699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 w14:paraId="46B131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 w14:paraId="2AD4CE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4318C8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4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 w14:paraId="3B3911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评价组组长（签字）：</w:t>
            </w:r>
          </w:p>
          <w:p w14:paraId="329979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 w14:paraId="7AF1DF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 w14:paraId="0B4AB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 w14:paraId="6E2A8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 w14:paraId="40955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 w14:paraId="1C864A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19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 w14:paraId="2723B1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部门（单位）意见：</w:t>
            </w:r>
          </w:p>
          <w:p w14:paraId="182BB6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 w14:paraId="5EF68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部门（单位）负责人（签章）：</w:t>
            </w:r>
          </w:p>
          <w:p w14:paraId="69BF13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 w14:paraId="78D4C0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 w14:paraId="065E4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财政部门归口业务股室意见：</w:t>
            </w:r>
          </w:p>
          <w:p w14:paraId="51E361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</w:p>
          <w:p w14:paraId="2AE5CE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财政部门归口业务股室负责人（签章）：</w:t>
            </w:r>
          </w:p>
          <w:p w14:paraId="09EFD7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                               年    月   日</w:t>
            </w:r>
          </w:p>
        </w:tc>
      </w:tr>
    </w:tbl>
    <w:p w14:paraId="71782E1D">
      <w:pPr>
        <w:pStyle w:val="10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="仿宋_GB2312" w:cs="仿宋_GB2312"/>
          <w:bCs/>
          <w:sz w:val="28"/>
          <w:szCs w:val="28"/>
        </w:rPr>
        <w:t>填报人（签名）：                          联系电话：</w:t>
      </w:r>
    </w:p>
    <w:p w14:paraId="2091A5FA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附件1</w:t>
      </w:r>
    </w:p>
    <w:p w14:paraId="70080255"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岳阳市云溪区物流发展服务中心</w:t>
      </w:r>
    </w:p>
    <w:p w14:paraId="15538801"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部门整体支出绩效自评报告</w:t>
      </w:r>
    </w:p>
    <w:p w14:paraId="4D244921">
      <w:pPr>
        <w:bidi w:val="0"/>
      </w:pPr>
    </w:p>
    <w:p w14:paraId="0DA24021">
      <w:pPr>
        <w:pStyle w:val="2"/>
        <w:bidi w:val="0"/>
        <w:rPr>
          <w:rFonts w:hint="eastAsia"/>
        </w:rPr>
      </w:pPr>
      <w:r>
        <w:rPr>
          <w:rFonts w:hint="eastAsia"/>
        </w:rPr>
        <w:t>一、部门（单位）概况</w:t>
      </w:r>
    </w:p>
    <w:p w14:paraId="391DA978">
      <w:pPr>
        <w:pStyle w:val="3"/>
        <w:bidi w:val="0"/>
        <w:ind w:left="0" w:leftChars="0" w:firstLine="0" w:firstLineChars="0"/>
        <w:rPr>
          <w:rFonts w:hint="default"/>
        </w:rPr>
      </w:pPr>
      <w:r>
        <w:rPr>
          <w:rFonts w:hint="default"/>
        </w:rPr>
        <w:t>（一）机构设置情况</w:t>
      </w:r>
    </w:p>
    <w:p w14:paraId="47F205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楷体_GB2312" w:eastAsia="楷体_GB2312" w:cs="楷体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岳岳阳市云溪区物流发展服务中心内设机构包括：内设股室2个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72CC7AD">
      <w:pPr>
        <w:pStyle w:val="3"/>
        <w:bidi w:val="0"/>
        <w:ind w:left="0" w:leftChars="0" w:firstLine="0" w:firstLineChars="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二</w:t>
      </w:r>
      <w:r>
        <w:rPr>
          <w:rFonts w:hint="eastAsia"/>
          <w:lang w:eastAsia="zh-CN"/>
        </w:rPr>
        <w:t>）</w:t>
      </w:r>
      <w:r>
        <w:rPr>
          <w:rFonts w:hint="default"/>
        </w:rPr>
        <w:t>人员编制情况</w:t>
      </w:r>
    </w:p>
    <w:p w14:paraId="439663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2023年末实有人数7人，其中事业人员7人。</w:t>
      </w:r>
    </w:p>
    <w:p w14:paraId="39BC0A38">
      <w:pPr>
        <w:pStyle w:val="3"/>
        <w:bidi w:val="0"/>
        <w:ind w:left="0" w:leftChars="0" w:firstLine="0" w:firstLineChars="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三</w:t>
      </w:r>
      <w:r>
        <w:rPr>
          <w:rFonts w:hint="eastAsia"/>
          <w:lang w:eastAsia="zh-CN"/>
        </w:rPr>
        <w:t>）</w:t>
      </w:r>
      <w:r>
        <w:rPr>
          <w:rFonts w:hint="default"/>
        </w:rPr>
        <w:t>主要职能职责</w:t>
      </w:r>
    </w:p>
    <w:p w14:paraId="140200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1、会同各行业主管部门研究提出全区物流业发展战略、中长期发展规划、政策措施，经批准后组织实施；研究分析物流业发展的重大问题，提出促进全区物流业发展的政策建议。</w:t>
      </w:r>
    </w:p>
    <w:p w14:paraId="39F82E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、负责全区重大物流项目的谋划和归集；会同财政部门研究提出促进物流产业发展的财政性资金安排建议；负责区本级物流项目资金申报、审核的事务性工作；配合有关部门做好各类国家、省市物流专项资金（项目）的申报工作。</w:t>
      </w:r>
    </w:p>
    <w:p w14:paraId="57052F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3、负责物流业市场培育和规范工作；牵头协调重大物流项目的招商引资；负责物流业对外交流与区域合作工作。</w:t>
      </w:r>
    </w:p>
    <w:p w14:paraId="463BD3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4、协调推进物流枢纽、物流园区、重大物流项目和重点物流基础设施建设工作。</w:t>
      </w:r>
    </w:p>
    <w:p w14:paraId="6D4EE2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5、统筹协调全区物流网络体系建设和国际国内物流通道开通工作；负责协调铁路、公路、水路等多种运输方式及联运模式组织，推进物流基础设施网络建设及行业信息共享。</w:t>
      </w:r>
    </w:p>
    <w:p w14:paraId="509A28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6、负责全区物流业运行监测和统计分析，协调推进全区物流信息数据体系建设；负责全区物流运行数据监测，发布相关物流指数和公共信息。</w:t>
      </w:r>
    </w:p>
    <w:p w14:paraId="006957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7、负责拟定全区现代物流产业发展年度目标工作任务，经批准后组织实施，负责年度考核评价的行政辅助工作。负责区现代物流创新发展领导小组办公室日常事务性工作。</w:t>
      </w:r>
    </w:p>
    <w:p w14:paraId="7860C6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8、统筹推进城市共同配送和城乡高效配送工作；统筹推进物流标准化、信息化、智能化建设，指导先进运输方式、先进物流技术和先进物流装备的推广工作。</w:t>
      </w:r>
    </w:p>
    <w:p w14:paraId="58639E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9、协同推进供应链体系建设，探索现代物流管理模式；指导全区企业物流的服务外包工作，推动企业内部物流社会化。</w:t>
      </w:r>
    </w:p>
    <w:p w14:paraId="18116B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10、负责全区物流业运行态势分析，制定产业发展报告，定期向社会公布相关数据；负责协调推进物流业产学研合作，指导协调现代物流行业协会等社团工作；负责对各物流园区企业物流发展工作进行业务指导。向社会公布相关数据；负责协调推进物流业产学研合作，指导协调现代物流行业协会等社团工作；负责对各物流园区企业物流发展工作进行业务指导。</w:t>
      </w:r>
    </w:p>
    <w:p w14:paraId="7380F2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11、负责服务重点物流企业发展，指导全区物流企业进行A级物流企业、星级冷链（物流）企业评定的申报。</w:t>
      </w:r>
    </w:p>
    <w:p w14:paraId="7B598D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12、负责向物流企业提供有关法律、政策的咨询服务，协调物流行业纠纷。</w:t>
      </w:r>
    </w:p>
    <w:p w14:paraId="3179CB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13、完成区委、区政府交办的其他工作。</w:t>
      </w:r>
    </w:p>
    <w:p w14:paraId="06BAFE80">
      <w:pPr>
        <w:pStyle w:val="3"/>
        <w:bidi w:val="0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（四）</w:t>
      </w:r>
      <w:r>
        <w:rPr>
          <w:rFonts w:hint="default"/>
          <w:lang w:val="en-US" w:eastAsia="zh-CN"/>
        </w:rPr>
        <w:t>绩效目标设定情况</w:t>
      </w:r>
    </w:p>
    <w:p w14:paraId="2FB365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1.建章立制，强化组织保障。</w:t>
      </w:r>
    </w:p>
    <w:p w14:paraId="542FDC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2.摸底调查，夯实数据支撑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。</w:t>
      </w:r>
    </w:p>
    <w:p w14:paraId="1904C6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3.绘制蓝图，注重规划引领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。</w:t>
      </w:r>
    </w:p>
    <w:p w14:paraId="0B72C8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4.推进项目，完善体系建设。</w:t>
      </w:r>
    </w:p>
    <w:p w14:paraId="148DDD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5.服务企业，优化营商环境。</w:t>
      </w:r>
    </w:p>
    <w:p w14:paraId="18215A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6.争资立项，聚焦中心工作。</w:t>
      </w:r>
    </w:p>
    <w:p w14:paraId="0F400C1F">
      <w:pPr>
        <w:pStyle w:val="3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一般公共预算支出情况</w:t>
      </w:r>
    </w:p>
    <w:p w14:paraId="23744D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《会计法》《预算法》《行政单位财务规则》等法律和财政部及省财政厅有关财务规章的规定，明确了经费审批权限及程序，经费预算管理、财务经费管理、资产购置与处置、财务监督等。针对“三公”经费探索建立公用经费标准定额体系，开展公用经费使用监督和绩效评估，进一步落实厉行节约的各项规定，确保“三公经费”使用合理合规等。上述制度规定基本执行到位。</w:t>
      </w:r>
    </w:p>
    <w:p w14:paraId="62F02E63">
      <w:pPr>
        <w:pStyle w:val="4"/>
        <w:numPr>
          <w:ilvl w:val="0"/>
          <w:numId w:val="2"/>
        </w:numPr>
        <w:bidi w:val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基本支出情况</w:t>
      </w:r>
    </w:p>
    <w:p w14:paraId="2B2EA4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基本支出用于为保障各部门、机构正常运转、完成日常工作任务而发生的支出，包括人员经费和公用经费。</w:t>
      </w:r>
    </w:p>
    <w:p w14:paraId="1A9891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2023年全年基本支出86.07万元，其中：工资福利支出55.10万元、商品和服务支出30万元、对个人和家庭的补助0万元、债务利息及费用支出0万元、资本性支出0万元、其他支出0万元。</w:t>
      </w:r>
    </w:p>
    <w:p w14:paraId="6B0CCCF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  <w:t>项目支出情况</w:t>
      </w:r>
    </w:p>
    <w:p w14:paraId="4B1F69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项目支出是在基本支出之外为完成其特定的工作任务而发生的支出，主要用于专项工作的运转和设备升级等。</w:t>
      </w:r>
    </w:p>
    <w:p w14:paraId="65DC8B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2023年项目经费支出41.22万元，涉及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4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个项目，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其中物流中心开办资金4.92万元，现代服务业物流创新发展项目资金15.52万元，云溪区城乡物流基础设施项目2.80万元，岳阳市云溪区现代物流业发展规划编制服务项目17.98万元。</w:t>
      </w:r>
    </w:p>
    <w:p w14:paraId="76306548">
      <w:pPr>
        <w:pStyle w:val="3"/>
        <w:bidi w:val="0"/>
        <w:rPr>
          <w:rFonts w:hint="eastAsia"/>
        </w:rPr>
      </w:pPr>
      <w:r>
        <w:t>（三）</w:t>
      </w:r>
      <w:r>
        <w:rPr>
          <w:rFonts w:hint="eastAsia"/>
        </w:rPr>
        <w:t>“三公”经费的使用和管理情况</w:t>
      </w:r>
    </w:p>
    <w:p w14:paraId="34200A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我单位2023年严格贯彻中央八项规定精神，厉行节约。“三公”经费的使用严格按照文件范围执行，财务人员严把票据审核的关卡，确保资金的合理使用。2023年初财政批复局机关“三公”经费预算数为0万元，其中：公务接待费0.5万元、因公出国（境）费用0万元、公务用车购置及运行费0万元。全年决算单位支出“三公”经费为0.08万元，其中：公务接待费0.08万元、因公出国（境）费用0万元、公务用车购置及运行费0万元。</w:t>
      </w:r>
    </w:p>
    <w:p w14:paraId="71F8ECEF">
      <w:pPr>
        <w:pStyle w:val="2"/>
        <w:bidi w:val="0"/>
        <w:rPr>
          <w:rFonts w:hint="eastAsia"/>
        </w:rPr>
      </w:pPr>
      <w:r>
        <w:rPr>
          <w:rFonts w:hint="eastAsia"/>
        </w:rPr>
        <w:t>三、政府性基金预算支出情况</w:t>
      </w:r>
    </w:p>
    <w:p w14:paraId="276C4394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right="0" w:firstLine="640" w:firstLineChars="200"/>
        <w:textAlignment w:val="auto"/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无。</w:t>
      </w:r>
    </w:p>
    <w:p w14:paraId="33EFDBA1">
      <w:pPr>
        <w:pStyle w:val="2"/>
        <w:bidi w:val="0"/>
        <w:rPr>
          <w:rFonts w:hint="eastAsia"/>
        </w:rPr>
      </w:pPr>
      <w:r>
        <w:rPr>
          <w:rFonts w:hint="eastAsia"/>
        </w:rPr>
        <w:t>四、国有资本经营预算支出情况</w:t>
      </w:r>
    </w:p>
    <w:p w14:paraId="758727E6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right="0" w:firstLine="640" w:firstLineChars="200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无。</w:t>
      </w:r>
    </w:p>
    <w:p w14:paraId="2F46872F">
      <w:pPr>
        <w:pStyle w:val="2"/>
        <w:bidi w:val="0"/>
        <w:rPr>
          <w:rFonts w:hint="eastAsia"/>
        </w:rPr>
      </w:pPr>
      <w:r>
        <w:rPr>
          <w:rFonts w:hint="eastAsia"/>
        </w:rPr>
        <w:t>五、社会保险基金预算支出情况</w:t>
      </w:r>
    </w:p>
    <w:p w14:paraId="49ECB3F4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right="0" w:firstLine="640" w:firstLineChars="200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无。</w:t>
      </w:r>
    </w:p>
    <w:p w14:paraId="7DB49814">
      <w:pPr>
        <w:pStyle w:val="2"/>
        <w:bidi w:val="0"/>
        <w:rPr>
          <w:rFonts w:hint="eastAsia"/>
        </w:rPr>
      </w:pPr>
      <w:r>
        <w:rPr>
          <w:rFonts w:hint="eastAsia"/>
        </w:rPr>
        <w:t>六、部门整体支出绩效情况</w:t>
      </w:r>
    </w:p>
    <w:p w14:paraId="7ACCDBE7">
      <w:pPr>
        <w:pStyle w:val="3"/>
        <w:bidi w:val="0"/>
        <w:rPr>
          <w:rFonts w:hint="default"/>
        </w:rPr>
      </w:pPr>
      <w:r>
        <w:rPr>
          <w:rFonts w:hint="default"/>
        </w:rPr>
        <w:t>（一）综合评价结论</w:t>
      </w:r>
    </w:p>
    <w:p w14:paraId="3F8A53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经自评，2023年度我单位部门整体支出绩效评价结论为“优”，自查评分为100分。</w:t>
      </w:r>
    </w:p>
    <w:p w14:paraId="0A57951A">
      <w:pPr>
        <w:pStyle w:val="3"/>
        <w:bidi w:val="0"/>
        <w:rPr>
          <w:rFonts w:hint="default"/>
        </w:rPr>
      </w:pPr>
      <w:r>
        <w:rPr>
          <w:rFonts w:hint="default"/>
        </w:rPr>
        <w:t>（二）评价指标分析</w:t>
      </w:r>
    </w:p>
    <w:p w14:paraId="4C3CBB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.建章立制，强化组织保障。我中心自年初挂牌成立后，主动对接上级部门和关联单位，厘清工作思路，强化组织保障，主要做到:一是根据工作开展需求，协助区委编办制定好了三定方案;二是成立了以区长为组长的物流工作领导小组，高位推动产业发展;三是加强资金保障，设立了200万元物流产业发展专项引导资金;四是加强人才保障，通过“四海揽才”引进一名双一流大学物流专业人才。</w:t>
      </w:r>
    </w:p>
    <w:p w14:paraId="737E2F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摸底调查，夯实数据支撑。三月份，我中心安排专人专班启动全区物流供应链企业摸底调查，通过为期两个月时间，深入到“两厂、港区、园区”等生产性企业及运输企业、仓储企业、贸易企业、物流服务企业进行座谈，结合“己内酰胺产业链搬迁”项目、“乙烯”项目和湖南石化发展趋势，基本盘清了我区现有的基础设施状况、市场的资源配置情况及企业的需求情况等。</w:t>
      </w:r>
    </w:p>
    <w:p w14:paraId="4453C7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.绘制蓝图，注重规划引领。云溪区分别于2012年、2018年两次编制了《物流业发展规划》，近年来，我区石化产业迎来跨越发展，原规划已不能适应当前产业发展新形势，为确保服务好主导产业持续稳定发展，我中心委托中物联湖南分公司着眼现状、放眼未来，高起点、高标准、高质量编制《岳阳市云溪区现代物流业发展中长期规划(2023-2030年)》，旨在铸造好我区沿长江经济带和京广经济带的“金十字架”，更好地服务区内主导产业发展。</w:t>
      </w:r>
    </w:p>
    <w:p w14:paraId="0503F0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.推进项目，完善体系建设。根据区政府工作安排，由我中心作为业主单位建设的云溪区农村客货邮融合发展项目，现已完成可研编制及项目初步设计等，计划今年内可完成前期工作，2024年元月正式开工建设。同时由我中心牵头协调的市城运集团项目两个，其中机匠坳三级物流配送项目已交地并开工建设，预计2024年8月建成运营，段家冲综合交通服务区项目正在开展土地报批和征地拆迁前期工作，18栋房屋已拆除15栋、迁坟工作完成约80%，计划年底完成土地报批。同时，为加快我区物流体系建设，完善基础设施配套，我中心积极主动参与了长岭片区危货停车场、湖南永泰运物流、彭家湾散货码头等项目建设协调。</w:t>
      </w:r>
    </w:p>
    <w:p w14:paraId="6E75AA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.服务企业，优化营商环境。在走访调查过程中，我们切实了解了一些企业的需求和困扰，为进一步服务好企业，优化营商环境，我中心主要做到:一是培育重点企业，积极对接市物流发展服务中心，将岳阳市现代物流产业链优质企业梯度培育库中我区原有的2家企业增至13家;二是为加强危货物流安全保障，促进我区运输企业整合抱团发展，我中心撰写《危货运输车辆备案登记制度调研报告》，目前已通过区政府常务会，明确由区交通局牵头实施;三是为打通物流供应链中的行业信息壁垒，我中心撰写《化工电商平台项目调研报告》，目前已通过区政府主要领导认可，正在招商洽谈中。</w:t>
      </w:r>
    </w:p>
    <w:p w14:paraId="618FDC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6.争资立项，聚焦中心工作。我中心由于新成立在发改局没有储备项目，争资立项极为困难，为打破该瓶颈，通过与区发改、交通、商粮、农村农业等行政单位积极对接，认真梳理，基本确定了争资方向，预计年内可争取到位岳阳市物流产业发展专项引导资金40万元，明年可争取农村客货邮及三级物流配送体系等项目资金600万元。</w:t>
      </w:r>
    </w:p>
    <w:p w14:paraId="02FE91F1">
      <w:pPr>
        <w:pStyle w:val="2"/>
        <w:bidi w:val="0"/>
        <w:rPr>
          <w:rFonts w:hint="eastAsia"/>
        </w:rPr>
      </w:pPr>
      <w:r>
        <w:rPr>
          <w:rFonts w:hint="eastAsia"/>
        </w:rPr>
        <w:t>七、存在的问题及原因分析</w:t>
      </w:r>
    </w:p>
    <w:p w14:paraId="416A0B1D">
      <w:pPr>
        <w:pStyle w:val="2"/>
        <w:bidi w:val="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2023年我单位无预算支出执行偏离绩效目标的情况。</w:t>
      </w:r>
    </w:p>
    <w:p w14:paraId="6B9EA7D2">
      <w:pPr>
        <w:pStyle w:val="2"/>
        <w:bidi w:val="0"/>
        <w:rPr>
          <w:rFonts w:hint="eastAsia"/>
        </w:rPr>
      </w:pPr>
      <w:r>
        <w:rPr>
          <w:rFonts w:hint="eastAsia"/>
        </w:rPr>
        <w:t>八、下一步改进措施</w:t>
      </w:r>
    </w:p>
    <w:p w14:paraId="5C34A83C">
      <w:pPr>
        <w:pStyle w:val="2"/>
        <w:bidi w:val="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无。</w:t>
      </w:r>
    </w:p>
    <w:p w14:paraId="7626A835">
      <w:pPr>
        <w:pStyle w:val="2"/>
        <w:bidi w:val="0"/>
        <w:rPr>
          <w:rFonts w:hint="eastAsia"/>
          <w:lang w:val="en-US" w:eastAsia="en-US"/>
        </w:rPr>
      </w:pPr>
      <w:bookmarkStart w:id="0" w:name="_GoBack"/>
      <w:bookmarkEnd w:id="0"/>
      <w:r>
        <w:rPr>
          <w:rFonts w:hint="eastAsia"/>
          <w:lang w:val="en-US" w:eastAsia="en-US"/>
        </w:rPr>
        <w:t>九、其他需要说明的情况</w:t>
      </w:r>
    </w:p>
    <w:p w14:paraId="54452910">
      <w:pPr>
        <w:pStyle w:val="2"/>
        <w:bidi w:val="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无。</w:t>
      </w:r>
    </w:p>
    <w:p w14:paraId="53D208A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1C50A5">
    <w:pPr>
      <w:pStyle w:val="5"/>
      <w:framePr w:wrap="around" w:vAnchor="text" w:hAnchor="margin" w:xAlign="outside" w:y="1"/>
      <w:rPr>
        <w:rStyle w:val="9"/>
        <w:sz w:val="24"/>
        <w:szCs w:val="24"/>
      </w:rPr>
    </w:pPr>
    <w:r>
      <w:rPr>
        <w:rStyle w:val="9"/>
        <w:rFonts w:hint="eastAsia"/>
        <w:sz w:val="24"/>
        <w:szCs w:val="24"/>
      </w:rPr>
      <w:t xml:space="preserve">— </w:t>
    </w:r>
    <w:r>
      <w:rPr>
        <w:sz w:val="24"/>
        <w:szCs w:val="24"/>
      </w:rPr>
      <w:fldChar w:fldCharType="begin"/>
    </w:r>
    <w:r>
      <w:rPr>
        <w:rStyle w:val="9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9"/>
        <w:sz w:val="24"/>
        <w:szCs w:val="24"/>
      </w:rPr>
      <w:t>2</w:t>
    </w:r>
    <w:r>
      <w:rPr>
        <w:sz w:val="24"/>
        <w:szCs w:val="24"/>
      </w:rPr>
      <w:fldChar w:fldCharType="end"/>
    </w:r>
    <w:r>
      <w:rPr>
        <w:rStyle w:val="9"/>
        <w:rFonts w:hint="eastAsia"/>
        <w:sz w:val="24"/>
        <w:szCs w:val="24"/>
      </w:rPr>
      <w:t xml:space="preserve"> —</w:t>
    </w:r>
  </w:p>
  <w:p w14:paraId="76104302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DFB601">
    <w:pPr>
      <w:framePr w:wrap="around" w:vAnchor="text" w:hAnchor="margin" w:xAlign="outside" w:y="1"/>
    </w:pPr>
    <w:r>
      <w:fldChar w:fldCharType="begin"/>
    </w:r>
    <w:r>
      <w:instrText xml:space="preserve">PAGE  </w:instrText>
    </w:r>
    <w:r>
      <w:fldChar w:fldCharType="separate"/>
    </w:r>
    <w:r>
      <w:t>- 15 -</w:t>
    </w:r>
    <w:r>
      <w:fldChar w:fldCharType="end"/>
    </w:r>
  </w:p>
  <w:p w14:paraId="04E3F872">
    <w:pPr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976376"/>
    <w:multiLevelType w:val="singleLevel"/>
    <w:tmpl w:val="DC97637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87498EA"/>
    <w:multiLevelType w:val="singleLevel"/>
    <w:tmpl w:val="387498EA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5NmFjMmM4ZTljMGJiZDAxN2JmYTc0NGI0NmFiNDgifQ=="/>
  </w:docVars>
  <w:rsids>
    <w:rsidRoot w:val="00000000"/>
    <w:rsid w:val="03AA1A5C"/>
    <w:rsid w:val="04250BF0"/>
    <w:rsid w:val="096D657D"/>
    <w:rsid w:val="0BDA33E6"/>
    <w:rsid w:val="0D187019"/>
    <w:rsid w:val="0DF76096"/>
    <w:rsid w:val="10983CA1"/>
    <w:rsid w:val="111C5A22"/>
    <w:rsid w:val="122049AD"/>
    <w:rsid w:val="16D90FC4"/>
    <w:rsid w:val="17045380"/>
    <w:rsid w:val="186A0D56"/>
    <w:rsid w:val="191E4E1F"/>
    <w:rsid w:val="1AC94917"/>
    <w:rsid w:val="1D470521"/>
    <w:rsid w:val="20D92961"/>
    <w:rsid w:val="2AB54840"/>
    <w:rsid w:val="2DBE22D5"/>
    <w:rsid w:val="2DD67B47"/>
    <w:rsid w:val="318615CB"/>
    <w:rsid w:val="321B46F1"/>
    <w:rsid w:val="3E4E4FAF"/>
    <w:rsid w:val="40E85247"/>
    <w:rsid w:val="41203882"/>
    <w:rsid w:val="41B03D78"/>
    <w:rsid w:val="42075CA8"/>
    <w:rsid w:val="44DE708D"/>
    <w:rsid w:val="45795F75"/>
    <w:rsid w:val="47354F5E"/>
    <w:rsid w:val="4E8B1F67"/>
    <w:rsid w:val="50EC3C76"/>
    <w:rsid w:val="542D593B"/>
    <w:rsid w:val="546406A0"/>
    <w:rsid w:val="5923730C"/>
    <w:rsid w:val="596423C7"/>
    <w:rsid w:val="5AF01470"/>
    <w:rsid w:val="5B372BFB"/>
    <w:rsid w:val="5CC772D2"/>
    <w:rsid w:val="6031230F"/>
    <w:rsid w:val="624A5785"/>
    <w:rsid w:val="624F2C18"/>
    <w:rsid w:val="626866FE"/>
    <w:rsid w:val="62E22BD3"/>
    <w:rsid w:val="63660064"/>
    <w:rsid w:val="63E53BC8"/>
    <w:rsid w:val="643F0D73"/>
    <w:rsid w:val="64673F7C"/>
    <w:rsid w:val="6B38404F"/>
    <w:rsid w:val="6C0E05F6"/>
    <w:rsid w:val="6E1076CA"/>
    <w:rsid w:val="6EFF7A7C"/>
    <w:rsid w:val="71883D59"/>
    <w:rsid w:val="73C70602"/>
    <w:rsid w:val="78B13B95"/>
    <w:rsid w:val="7AAC2882"/>
    <w:rsid w:val="7C263D95"/>
    <w:rsid w:val="7C582B10"/>
    <w:rsid w:val="7DED5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0"/>
    </w:pPr>
    <w:rPr>
      <w:rFonts w:eastAsia="黑体" w:asciiTheme="minorAscii" w:hAnsiTheme="minorAscii"/>
      <w:b/>
      <w:kern w:val="44"/>
      <w:sz w:val="32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line="560" w:lineRule="exact"/>
      <w:ind w:firstLine="200" w:firstLineChars="200"/>
      <w:outlineLvl w:val="1"/>
    </w:pPr>
    <w:rPr>
      <w:rFonts w:eastAsia="楷体_GB2312" w:asciiTheme="majorAscii" w:hAnsiTheme="majorAscii" w:cstheme="majorBidi"/>
      <w:b/>
      <w:bCs/>
      <w:sz w:val="32"/>
      <w:szCs w:val="32"/>
    </w:rPr>
  </w:style>
  <w:style w:type="paragraph" w:styleId="4">
    <w:name w:val="heading 3"/>
    <w:basedOn w:val="1"/>
    <w:next w:val="1"/>
    <w:autoRedefine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2"/>
    </w:pPr>
    <w:rPr>
      <w:rFonts w:eastAsia="仿宋_GB2312" w:asciiTheme="minorAscii" w:hAnsiTheme="minorAscii"/>
      <w:sz w:val="32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page number"/>
    <w:autoRedefine/>
    <w:qFormat/>
    <w:uiPriority w:val="0"/>
  </w:style>
  <w:style w:type="paragraph" w:customStyle="1" w:styleId="10">
    <w:name w:val="BodyText1I2"/>
    <w:basedOn w:val="11"/>
    <w:autoRedefine/>
    <w:qFormat/>
    <w:uiPriority w:val="0"/>
    <w:pPr>
      <w:spacing w:before="100" w:beforeAutospacing="1" w:after="0"/>
      <w:ind w:left="0" w:firstLine="420" w:firstLineChars="200"/>
    </w:pPr>
    <w:rPr>
      <w:rFonts w:ascii="Calibri" w:hAnsi="Calibri"/>
    </w:rPr>
  </w:style>
  <w:style w:type="paragraph" w:customStyle="1" w:styleId="11">
    <w:name w:val="BodyTextIndent"/>
    <w:basedOn w:val="1"/>
    <w:autoRedefine/>
    <w:qFormat/>
    <w:uiPriority w:val="0"/>
    <w:pPr>
      <w:spacing w:after="120"/>
      <w:ind w:left="420" w:leftChars="200"/>
    </w:pPr>
  </w:style>
  <w:style w:type="paragraph" w:customStyle="1" w:styleId="12">
    <w:name w:val="BodyText1I"/>
    <w:basedOn w:val="1"/>
    <w:autoRedefine/>
    <w:qFormat/>
    <w:uiPriority w:val="99"/>
    <w:pPr>
      <w:snapToGrid w:val="0"/>
      <w:spacing w:line="360" w:lineRule="auto"/>
      <w:ind w:firstLine="420" w:firstLineChars="100"/>
    </w:pPr>
    <w:rPr>
      <w:sz w:val="28"/>
      <w:szCs w:val="20"/>
    </w:rPr>
  </w:style>
  <w:style w:type="paragraph" w:customStyle="1" w:styleId="13">
    <w:name w:val="标题1"/>
    <w:basedOn w:val="3"/>
    <w:autoRedefine/>
    <w:qFormat/>
    <w:uiPriority w:val="0"/>
    <w:rPr>
      <w:rFonts w:eastAsia="黑体"/>
    </w:rPr>
  </w:style>
  <w:style w:type="paragraph" w:customStyle="1" w:styleId="14">
    <w:name w:val="List Paragraph_a0f507d5-6e28-4914-b37f-020b7d2b0f7c"/>
    <w:basedOn w:val="1"/>
    <w:autoRedefine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4387</Words>
  <Characters>4716</Characters>
  <Lines>1</Lines>
  <Paragraphs>1</Paragraphs>
  <TotalTime>1</TotalTime>
  <ScaleCrop>false</ScaleCrop>
  <LinksUpToDate>false</LinksUpToDate>
  <CharactersWithSpaces>5186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2024-05-20T07:10:00Z</dcterms:created>
  <dc:creator>HNBS-WORKER3</dc:creator>
  <cp:lastModifiedBy>灯火阑珊</cp:lastModifiedBy>
  <dcterms:modified xsi:type="dcterms:W3CDTF">2024-06-20T10:40:17Z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2EACD47548BD4DE7A4D66C6CD41716BF_13</vt:lpwstr>
  </property>
</Properties>
</file>