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idi w:val="0"/>
        <w:outlineLvl w:val="9"/>
        <w:rPr>
          <w:rFonts w:hint="default"/>
          <w:lang w:val="en-US" w:eastAsia="zh-CN"/>
        </w:rPr>
      </w:pPr>
      <w:r>
        <w:rPr>
          <w:rFonts w:hint="eastAsia"/>
          <w:lang w:val="en-US" w:eastAsia="zh-CN"/>
        </w:rPr>
        <w:t>附件2</w:t>
      </w:r>
    </w:p>
    <w:p>
      <w:pPr>
        <w:keepNext w:val="0"/>
        <w:keepLines w:val="0"/>
        <w:pageBreakBefore w:val="0"/>
        <w:widowControl/>
        <w:tabs>
          <w:tab w:val="left" w:pos="3611"/>
          <w:tab w:val="left" w:pos="4791"/>
          <w:tab w:val="left" w:pos="5951"/>
          <w:tab w:val="left" w:pos="7071"/>
          <w:tab w:val="left" w:pos="8191"/>
          <w:tab w:val="left" w:pos="9311"/>
        </w:tabs>
        <w:kinsoku/>
        <w:wordWrap/>
        <w:overflowPunct/>
        <w:topLinePunct w:val="0"/>
        <w:autoSpaceDE/>
        <w:autoSpaceDN/>
        <w:bidi w:val="0"/>
        <w:adjustRightInd/>
        <w:snapToGrid/>
        <w:spacing w:line="480" w:lineRule="exact"/>
        <w:ind w:left="91"/>
        <w:jc w:val="center"/>
        <w:textAlignment w:val="auto"/>
        <w:outlineLvl w:val="0"/>
        <w:rPr>
          <w:rFonts w:hint="eastAsia" w:ascii="方正小标宋简体" w:hAnsi="方正小标宋简体" w:eastAsia="方正小标宋简体" w:cs="方正小标宋简体"/>
          <w:color w:val="000000"/>
          <w:kern w:val="0"/>
          <w:sz w:val="36"/>
          <w:szCs w:val="36"/>
          <w:lang w:val="en-US" w:eastAsia="zh-CN"/>
        </w:rPr>
      </w:pPr>
      <w:r>
        <w:rPr>
          <w:rFonts w:hint="eastAsia" w:ascii="方正小标宋简体" w:hAnsi="方正小标宋简体" w:eastAsia="方正小标宋简体" w:cs="方正小标宋简体"/>
          <w:color w:val="000000"/>
          <w:kern w:val="0"/>
          <w:sz w:val="36"/>
          <w:szCs w:val="36"/>
          <w:lang w:val="en-US" w:eastAsia="zh-CN"/>
        </w:rPr>
        <w:t>部门整体支出绩效评价基础数据表</w:t>
      </w:r>
    </w:p>
    <w:p>
      <w:pPr>
        <w:widowControl/>
        <w:tabs>
          <w:tab w:val="left" w:pos="3611"/>
          <w:tab w:val="left" w:pos="4791"/>
          <w:tab w:val="left" w:pos="5951"/>
          <w:tab w:val="left" w:pos="7071"/>
          <w:tab w:val="left" w:pos="8191"/>
          <w:tab w:val="left" w:pos="9311"/>
        </w:tabs>
        <w:ind w:left="91"/>
        <w:jc w:val="left"/>
        <w:rPr>
          <w:rFonts w:hint="eastAsia" w:eastAsia="仿宋_GB2312"/>
          <w:kern w:val="0"/>
          <w:sz w:val="24"/>
          <w:lang w:val="en-US" w:eastAsia="zh-CN"/>
        </w:rPr>
      </w:pPr>
      <w:r>
        <w:rPr>
          <w:rFonts w:hint="eastAsia" w:eastAsia="仿宋_GB2312"/>
          <w:kern w:val="0"/>
          <w:sz w:val="24"/>
          <w:lang w:val="en-US" w:eastAsia="zh-CN"/>
        </w:rPr>
        <w:t xml:space="preserve">填报单位：岳阳市云溪区接待服务中心                                   </w:t>
      </w:r>
    </w:p>
    <w:tbl>
      <w:tblPr>
        <w:tblStyle w:val="9"/>
        <w:tblW w:w="5425" w:type="pct"/>
        <w:tblInd w:w="-3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3226"/>
        <w:gridCol w:w="792"/>
        <w:gridCol w:w="1222"/>
        <w:gridCol w:w="925"/>
        <w:gridCol w:w="1325"/>
        <w:gridCol w:w="976"/>
        <w:gridCol w:w="124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08" w:hRule="atLeast"/>
        </w:trPr>
        <w:tc>
          <w:tcPr>
            <w:tcW w:w="1661" w:type="pct"/>
            <w:vMerge w:val="restar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财政供养人员情况</w:t>
            </w:r>
          </w:p>
        </w:tc>
        <w:tc>
          <w:tcPr>
            <w:tcW w:w="1037"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编制数</w:t>
            </w:r>
          </w:p>
        </w:tc>
        <w:tc>
          <w:tcPr>
            <w:tcW w:w="1158"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2023年实际在职人数</w:t>
            </w:r>
          </w:p>
        </w:tc>
        <w:tc>
          <w:tcPr>
            <w:tcW w:w="1141"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控制率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44" w:hRule="atLeast"/>
        </w:trPr>
        <w:tc>
          <w:tcPr>
            <w:tcW w:w="1661" w:type="pct"/>
            <w:vMerge w:val="continue"/>
            <w:tcBorders>
              <w:tl2br w:val="nil"/>
              <w:tr2bl w:val="nil"/>
            </w:tcBorders>
            <w:shd w:val="clear" w:color="auto" w:fill="auto"/>
            <w:noWrap/>
            <w:vAlign w:val="center"/>
          </w:tcPr>
          <w:p>
            <w:pPr>
              <w:jc w:val="center"/>
              <w:rPr>
                <w:rFonts w:hint="eastAsia" w:ascii="仿宋_GB2312" w:hAnsi="仿宋_GB2312" w:eastAsia="仿宋_GB2312" w:cs="仿宋_GB2312"/>
                <w:b/>
                <w:bCs/>
                <w:i w:val="0"/>
                <w:iCs w:val="0"/>
                <w:color w:val="000000"/>
                <w:sz w:val="20"/>
                <w:szCs w:val="20"/>
                <w:u w:val="none"/>
              </w:rPr>
            </w:pPr>
          </w:p>
        </w:tc>
        <w:tc>
          <w:tcPr>
            <w:tcW w:w="1037"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000000"/>
                <w:sz w:val="20"/>
                <w:szCs w:val="20"/>
                <w:u w:val="none"/>
                <w:lang w:val="en-US" w:eastAsia="zh-CN"/>
              </w:rPr>
            </w:pPr>
            <w:r>
              <w:rPr>
                <w:rFonts w:hint="eastAsia" w:ascii="宋体" w:hAnsi="宋体" w:eastAsia="宋体" w:cs="宋体"/>
                <w:i w:val="0"/>
                <w:iCs w:val="0"/>
                <w:color w:val="000000"/>
                <w:kern w:val="0"/>
                <w:sz w:val="22"/>
                <w:szCs w:val="22"/>
                <w:u w:val="none"/>
                <w:lang w:val="en-US" w:eastAsia="zh-CN" w:bidi="ar"/>
              </w:rPr>
              <w:t>46</w:t>
            </w:r>
          </w:p>
        </w:tc>
        <w:tc>
          <w:tcPr>
            <w:tcW w:w="1158"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000000"/>
                <w:sz w:val="20"/>
                <w:szCs w:val="20"/>
                <w:u w:val="none"/>
                <w:lang w:val="en-US" w:eastAsia="zh-CN"/>
              </w:rPr>
            </w:pPr>
            <w:r>
              <w:rPr>
                <w:rFonts w:hint="eastAsia" w:ascii="宋体" w:hAnsi="宋体" w:eastAsia="宋体" w:cs="宋体"/>
                <w:i w:val="0"/>
                <w:iCs w:val="0"/>
                <w:color w:val="000000"/>
                <w:kern w:val="0"/>
                <w:sz w:val="22"/>
                <w:szCs w:val="22"/>
                <w:u w:val="none"/>
                <w:lang w:val="en-US" w:eastAsia="zh-CN" w:bidi="ar"/>
              </w:rPr>
              <w:t>46</w:t>
            </w:r>
          </w:p>
        </w:tc>
        <w:tc>
          <w:tcPr>
            <w:tcW w:w="1141"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lang w:val="en-US" w:eastAsia="zh-CN"/>
              </w:rPr>
            </w:pPr>
            <w:r>
              <w:rPr>
                <w:rFonts w:hint="eastAsia" w:ascii="宋体" w:hAnsi="宋体" w:eastAsia="宋体" w:cs="宋体"/>
                <w:i w:val="0"/>
                <w:iCs w:val="0"/>
                <w:color w:val="000000"/>
                <w:kern w:val="0"/>
                <w:sz w:val="22"/>
                <w:szCs w:val="22"/>
                <w:u w:val="none"/>
                <w:lang w:val="en-US" w:eastAsia="zh-CN" w:bidi="ar"/>
              </w:rPr>
              <w:t>100.00%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36" w:hRule="atLeast"/>
        </w:trPr>
        <w:tc>
          <w:tcPr>
            <w:tcW w:w="1661"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经费控制情况(万元)</w:t>
            </w:r>
          </w:p>
        </w:tc>
        <w:tc>
          <w:tcPr>
            <w:tcW w:w="1037"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2022年决算数</w:t>
            </w:r>
          </w:p>
        </w:tc>
        <w:tc>
          <w:tcPr>
            <w:tcW w:w="1158"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2023年预算数</w:t>
            </w:r>
          </w:p>
        </w:tc>
        <w:tc>
          <w:tcPr>
            <w:tcW w:w="1141"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2023年决算数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8" w:hRule="atLeast"/>
        </w:trPr>
        <w:tc>
          <w:tcPr>
            <w:tcW w:w="1661"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三公经费</w:t>
            </w:r>
          </w:p>
        </w:tc>
        <w:tc>
          <w:tcPr>
            <w:tcW w:w="2014"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35.17</w:t>
            </w:r>
          </w:p>
        </w:tc>
        <w:tc>
          <w:tcPr>
            <w:tcW w:w="2250"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100.04</w:t>
            </w:r>
          </w:p>
        </w:tc>
        <w:tc>
          <w:tcPr>
            <w:tcW w:w="2217"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100.04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8" w:hRule="atLeast"/>
        </w:trPr>
        <w:tc>
          <w:tcPr>
            <w:tcW w:w="1661"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1、公务用车购置和维护经费</w:t>
            </w:r>
          </w:p>
        </w:tc>
        <w:tc>
          <w:tcPr>
            <w:tcW w:w="1037"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158"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141"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8" w:hRule="atLeast"/>
        </w:trPr>
        <w:tc>
          <w:tcPr>
            <w:tcW w:w="1661"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其中：公车购置</w:t>
            </w:r>
          </w:p>
        </w:tc>
        <w:tc>
          <w:tcPr>
            <w:tcW w:w="1037"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158"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141"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8" w:hRule="atLeast"/>
        </w:trPr>
        <w:tc>
          <w:tcPr>
            <w:tcW w:w="1661"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公车运行维护</w:t>
            </w:r>
          </w:p>
        </w:tc>
        <w:tc>
          <w:tcPr>
            <w:tcW w:w="1037"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158"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141"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8" w:hRule="atLeast"/>
        </w:trPr>
        <w:tc>
          <w:tcPr>
            <w:tcW w:w="1661"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2、出国经费</w:t>
            </w:r>
          </w:p>
        </w:tc>
        <w:tc>
          <w:tcPr>
            <w:tcW w:w="1037"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158"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141"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8" w:hRule="atLeast"/>
        </w:trPr>
        <w:tc>
          <w:tcPr>
            <w:tcW w:w="1661"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3、公务接待</w:t>
            </w:r>
          </w:p>
        </w:tc>
        <w:tc>
          <w:tcPr>
            <w:tcW w:w="2014"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35.17</w:t>
            </w:r>
          </w:p>
        </w:tc>
        <w:tc>
          <w:tcPr>
            <w:tcW w:w="2250"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100.04</w:t>
            </w:r>
          </w:p>
        </w:tc>
        <w:tc>
          <w:tcPr>
            <w:tcW w:w="2217"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100.04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8" w:hRule="atLeast"/>
        </w:trPr>
        <w:tc>
          <w:tcPr>
            <w:tcW w:w="1661"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项目支出：</w:t>
            </w:r>
          </w:p>
        </w:tc>
        <w:tc>
          <w:tcPr>
            <w:tcW w:w="1037"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lang w:val="en-US" w:eastAsia="zh-CN"/>
              </w:rPr>
            </w:pPr>
          </w:p>
        </w:tc>
        <w:tc>
          <w:tcPr>
            <w:tcW w:w="2250"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107</w:t>
            </w:r>
          </w:p>
        </w:tc>
        <w:tc>
          <w:tcPr>
            <w:tcW w:w="2217"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8" w:hRule="atLeast"/>
        </w:trPr>
        <w:tc>
          <w:tcPr>
            <w:tcW w:w="1661"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1、业务工作经费</w:t>
            </w:r>
          </w:p>
        </w:tc>
        <w:tc>
          <w:tcPr>
            <w:tcW w:w="1037"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lang w:val="en-US" w:eastAsia="zh-CN"/>
              </w:rPr>
            </w:pPr>
          </w:p>
        </w:tc>
        <w:tc>
          <w:tcPr>
            <w:tcW w:w="2250"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107</w:t>
            </w:r>
          </w:p>
        </w:tc>
        <w:tc>
          <w:tcPr>
            <w:tcW w:w="2217"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8" w:hRule="atLeast"/>
        </w:trPr>
        <w:tc>
          <w:tcPr>
            <w:tcW w:w="1661"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2、运行维护经费</w:t>
            </w:r>
          </w:p>
        </w:tc>
        <w:tc>
          <w:tcPr>
            <w:tcW w:w="1037"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lang w:val="en-US" w:eastAsia="zh-CN"/>
              </w:rPr>
            </w:pPr>
          </w:p>
        </w:tc>
        <w:tc>
          <w:tcPr>
            <w:tcW w:w="1158"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141"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4" w:hRule="atLeast"/>
        </w:trPr>
        <w:tc>
          <w:tcPr>
            <w:tcW w:w="1661"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right="0" w:right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3、本级专项资金（一个专项一行）</w:t>
            </w:r>
          </w:p>
        </w:tc>
        <w:tc>
          <w:tcPr>
            <w:tcW w:w="1037"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lang w:val="en-US" w:eastAsia="zh-CN"/>
              </w:rPr>
            </w:pPr>
          </w:p>
        </w:tc>
        <w:tc>
          <w:tcPr>
            <w:tcW w:w="1158"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lang w:val="en-US" w:eastAsia="zh-CN"/>
              </w:rPr>
            </w:pPr>
          </w:p>
        </w:tc>
        <w:tc>
          <w:tcPr>
            <w:tcW w:w="1141"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8" w:hRule="atLeast"/>
        </w:trPr>
        <w:tc>
          <w:tcPr>
            <w:tcW w:w="1661"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公用经费：</w:t>
            </w:r>
          </w:p>
        </w:tc>
        <w:tc>
          <w:tcPr>
            <w:tcW w:w="2014"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lang w:val="en-US" w:eastAsia="zh-CN"/>
              </w:rPr>
            </w:pPr>
            <w:r>
              <w:rPr>
                <w:rFonts w:hint="eastAsia" w:ascii="宋体" w:hAnsi="宋体" w:eastAsia="宋体" w:cs="宋体"/>
                <w:i w:val="0"/>
                <w:iCs w:val="0"/>
                <w:color w:val="000000"/>
                <w:kern w:val="0"/>
                <w:sz w:val="22"/>
                <w:szCs w:val="22"/>
                <w:u w:val="none"/>
                <w:lang w:val="en-US" w:eastAsia="zh-CN" w:bidi="ar"/>
              </w:rPr>
              <w:t>17.52</w:t>
            </w:r>
          </w:p>
        </w:tc>
        <w:tc>
          <w:tcPr>
            <w:tcW w:w="2250"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lang w:val="en-US" w:eastAsia="zh-CN"/>
              </w:rPr>
            </w:pPr>
            <w:r>
              <w:rPr>
                <w:rFonts w:hint="eastAsia" w:ascii="宋体" w:hAnsi="宋体" w:eastAsia="宋体" w:cs="宋体"/>
                <w:i w:val="0"/>
                <w:iCs w:val="0"/>
                <w:color w:val="000000"/>
                <w:kern w:val="0"/>
                <w:sz w:val="22"/>
                <w:szCs w:val="22"/>
                <w:u w:val="none"/>
                <w:lang w:val="en-US" w:eastAsia="zh-CN" w:bidi="ar"/>
              </w:rPr>
              <w:t>8.33</w:t>
            </w:r>
          </w:p>
        </w:tc>
        <w:tc>
          <w:tcPr>
            <w:tcW w:w="2217"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lang w:val="en-US" w:eastAsia="zh-CN"/>
              </w:rPr>
            </w:pPr>
            <w:r>
              <w:rPr>
                <w:rFonts w:hint="eastAsia" w:ascii="宋体" w:hAnsi="宋体" w:eastAsia="宋体" w:cs="宋体"/>
                <w:i w:val="0"/>
                <w:iCs w:val="0"/>
                <w:color w:val="000000"/>
                <w:kern w:val="0"/>
                <w:sz w:val="22"/>
                <w:szCs w:val="22"/>
                <w:u w:val="none"/>
                <w:lang w:val="en-US" w:eastAsia="zh-CN" w:bidi="ar"/>
              </w:rPr>
              <w:t>7.56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8" w:hRule="atLeast"/>
        </w:trPr>
        <w:tc>
          <w:tcPr>
            <w:tcW w:w="1661"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其中：办公经费</w:t>
            </w:r>
          </w:p>
        </w:tc>
        <w:tc>
          <w:tcPr>
            <w:tcW w:w="2014"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lang w:val="en-US" w:eastAsia="zh-CN"/>
              </w:rPr>
            </w:pPr>
            <w:r>
              <w:rPr>
                <w:rFonts w:hint="eastAsia" w:ascii="宋体" w:hAnsi="宋体" w:eastAsia="宋体" w:cs="宋体"/>
                <w:i w:val="0"/>
                <w:iCs w:val="0"/>
                <w:color w:val="000000"/>
                <w:kern w:val="0"/>
                <w:sz w:val="22"/>
                <w:szCs w:val="22"/>
                <w:u w:val="none"/>
                <w:lang w:val="en-US" w:eastAsia="zh-CN" w:bidi="ar"/>
              </w:rPr>
              <w:t>0.63</w:t>
            </w:r>
          </w:p>
        </w:tc>
        <w:tc>
          <w:tcPr>
            <w:tcW w:w="2250"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lang w:val="en-US" w:eastAsia="zh-CN"/>
              </w:rPr>
            </w:pPr>
            <w:r>
              <w:rPr>
                <w:rFonts w:hint="eastAsia" w:ascii="宋体" w:hAnsi="宋体" w:eastAsia="宋体" w:cs="宋体"/>
                <w:i w:val="0"/>
                <w:iCs w:val="0"/>
                <w:color w:val="000000"/>
                <w:kern w:val="0"/>
                <w:sz w:val="22"/>
                <w:szCs w:val="22"/>
                <w:u w:val="none"/>
                <w:lang w:val="en-US" w:eastAsia="zh-CN" w:bidi="ar"/>
              </w:rPr>
              <w:t>1.60</w:t>
            </w:r>
          </w:p>
        </w:tc>
        <w:tc>
          <w:tcPr>
            <w:tcW w:w="2217"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lang w:val="en-US" w:eastAsia="zh-CN"/>
              </w:rPr>
            </w:pPr>
            <w:r>
              <w:rPr>
                <w:rFonts w:hint="eastAsia" w:ascii="宋体" w:hAnsi="宋体" w:eastAsia="宋体" w:cs="宋体"/>
                <w:i w:val="0"/>
                <w:iCs w:val="0"/>
                <w:color w:val="000000"/>
                <w:kern w:val="0"/>
                <w:sz w:val="22"/>
                <w:szCs w:val="22"/>
                <w:u w:val="none"/>
                <w:lang w:val="en-US" w:eastAsia="zh-CN" w:bidi="ar"/>
              </w:rPr>
              <w:t>1.54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8" w:hRule="atLeast"/>
        </w:trPr>
        <w:tc>
          <w:tcPr>
            <w:tcW w:w="1661"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水费、电费、差旅费</w:t>
            </w:r>
          </w:p>
        </w:tc>
        <w:tc>
          <w:tcPr>
            <w:tcW w:w="2014"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lang w:val="en-US" w:eastAsia="zh-CN"/>
              </w:rPr>
            </w:pPr>
            <w:r>
              <w:rPr>
                <w:rFonts w:hint="eastAsia" w:ascii="宋体" w:hAnsi="宋体" w:eastAsia="宋体" w:cs="宋体"/>
                <w:i w:val="0"/>
                <w:iCs w:val="0"/>
                <w:color w:val="000000"/>
                <w:kern w:val="0"/>
                <w:sz w:val="22"/>
                <w:szCs w:val="22"/>
                <w:u w:val="none"/>
                <w:lang w:val="en-US" w:eastAsia="zh-CN" w:bidi="ar"/>
              </w:rPr>
              <w:t>1.64</w:t>
            </w:r>
          </w:p>
        </w:tc>
        <w:tc>
          <w:tcPr>
            <w:tcW w:w="2250"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lang w:val="en-US" w:eastAsia="zh-CN"/>
              </w:rPr>
            </w:pPr>
            <w:r>
              <w:rPr>
                <w:rFonts w:hint="eastAsia" w:ascii="宋体" w:hAnsi="宋体" w:eastAsia="宋体" w:cs="宋体"/>
                <w:i w:val="0"/>
                <w:iCs w:val="0"/>
                <w:color w:val="000000"/>
                <w:kern w:val="0"/>
                <w:sz w:val="22"/>
                <w:szCs w:val="22"/>
                <w:u w:val="none"/>
                <w:lang w:val="en-US" w:eastAsia="zh-CN" w:bidi="ar"/>
              </w:rPr>
              <w:t>0.66</w:t>
            </w:r>
          </w:p>
        </w:tc>
        <w:tc>
          <w:tcPr>
            <w:tcW w:w="2217"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lang w:val="en-US" w:eastAsia="zh-CN"/>
              </w:rPr>
            </w:pPr>
            <w:r>
              <w:rPr>
                <w:rFonts w:hint="eastAsia" w:ascii="宋体" w:hAnsi="宋体" w:eastAsia="宋体" w:cs="宋体"/>
                <w:i w:val="0"/>
                <w:iCs w:val="0"/>
                <w:color w:val="000000"/>
                <w:kern w:val="0"/>
                <w:sz w:val="22"/>
                <w:szCs w:val="22"/>
                <w:u w:val="none"/>
                <w:lang w:val="en-US" w:eastAsia="zh-CN" w:bidi="ar"/>
              </w:rPr>
              <w:t>0.74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8" w:hRule="atLeast"/>
        </w:trPr>
        <w:tc>
          <w:tcPr>
            <w:tcW w:w="1661"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会议费、培训费</w:t>
            </w:r>
          </w:p>
        </w:tc>
        <w:tc>
          <w:tcPr>
            <w:tcW w:w="2014"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lang w:val="en-US" w:eastAsia="zh-CN"/>
              </w:rPr>
            </w:pPr>
            <w:r>
              <w:rPr>
                <w:rFonts w:hint="eastAsia" w:ascii="宋体" w:hAnsi="宋体" w:eastAsia="宋体" w:cs="宋体"/>
                <w:i w:val="0"/>
                <w:iCs w:val="0"/>
                <w:color w:val="000000"/>
                <w:kern w:val="0"/>
                <w:sz w:val="22"/>
                <w:szCs w:val="22"/>
                <w:u w:val="none"/>
                <w:lang w:val="en-US" w:eastAsia="zh-CN" w:bidi="ar"/>
              </w:rPr>
              <w:t>0.25</w:t>
            </w:r>
          </w:p>
        </w:tc>
        <w:tc>
          <w:tcPr>
            <w:tcW w:w="2250"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lang w:val="en-US" w:eastAsia="zh-CN"/>
              </w:rPr>
            </w:pPr>
            <w:r>
              <w:rPr>
                <w:rFonts w:hint="eastAsia" w:ascii="宋体" w:hAnsi="宋体" w:eastAsia="宋体" w:cs="宋体"/>
                <w:i w:val="0"/>
                <w:iCs w:val="0"/>
                <w:color w:val="000000"/>
                <w:kern w:val="0"/>
                <w:sz w:val="22"/>
                <w:szCs w:val="22"/>
                <w:u w:val="none"/>
                <w:lang w:val="en-US" w:eastAsia="zh-CN" w:bidi="ar"/>
              </w:rPr>
              <w:t>0.18</w:t>
            </w:r>
          </w:p>
        </w:tc>
        <w:tc>
          <w:tcPr>
            <w:tcW w:w="2217" w:type="dxa"/>
            <w:gridSpan w:val="2"/>
            <w:tcBorders>
              <w:tl2br w:val="nil"/>
              <w:tr2bl w:val="nil"/>
            </w:tcBorders>
            <w:shd w:val="clear" w:color="auto" w:fill="auto"/>
            <w:noWrap/>
            <w:vAlign w:val="center"/>
          </w:tcPr>
          <w:p>
            <w:pPr>
              <w:jc w:val="center"/>
              <w:rPr>
                <w:rFonts w:hint="eastAsia" w:ascii="仿宋" w:hAnsi="仿宋" w:eastAsia="仿宋" w:cs="仿宋"/>
                <w:i w:val="0"/>
                <w:iCs w:val="0"/>
                <w:color w:val="000000"/>
                <w:sz w:val="20"/>
                <w:szCs w:val="20"/>
                <w:u w:val="none"/>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8" w:hRule="atLeast"/>
        </w:trPr>
        <w:tc>
          <w:tcPr>
            <w:tcW w:w="1661"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政府采购金额</w:t>
            </w:r>
          </w:p>
        </w:tc>
        <w:tc>
          <w:tcPr>
            <w:tcW w:w="1037" w:type="pct"/>
            <w:gridSpan w:val="2"/>
            <w:tcBorders>
              <w:tl2br w:val="nil"/>
              <w:tr2bl w:val="nil"/>
            </w:tcBorders>
            <w:shd w:val="clear" w:color="auto" w:fill="auto"/>
            <w:noWrap/>
            <w:vAlign w:val="center"/>
          </w:tcPr>
          <w:p>
            <w:pPr>
              <w:jc w:val="center"/>
              <w:rPr>
                <w:rFonts w:hint="eastAsia" w:ascii="仿宋" w:hAnsi="仿宋" w:eastAsia="仿宋" w:cs="仿宋"/>
                <w:i w:val="0"/>
                <w:iCs w:val="0"/>
                <w:color w:val="000000"/>
                <w:sz w:val="20"/>
                <w:szCs w:val="20"/>
                <w:u w:val="none"/>
              </w:rPr>
            </w:pPr>
          </w:p>
        </w:tc>
        <w:tc>
          <w:tcPr>
            <w:tcW w:w="1158" w:type="pct"/>
            <w:gridSpan w:val="2"/>
            <w:tcBorders>
              <w:tl2br w:val="nil"/>
              <w:tr2bl w:val="nil"/>
            </w:tcBorders>
            <w:shd w:val="clear" w:color="auto" w:fill="auto"/>
            <w:noWrap/>
            <w:vAlign w:val="center"/>
          </w:tcPr>
          <w:p>
            <w:pPr>
              <w:jc w:val="center"/>
              <w:rPr>
                <w:rFonts w:hint="eastAsia" w:ascii="仿宋" w:hAnsi="仿宋" w:eastAsia="仿宋" w:cs="仿宋"/>
                <w:i w:val="0"/>
                <w:iCs w:val="0"/>
                <w:color w:val="000000"/>
                <w:sz w:val="20"/>
                <w:szCs w:val="20"/>
                <w:u w:val="none"/>
              </w:rPr>
            </w:pPr>
          </w:p>
        </w:tc>
        <w:tc>
          <w:tcPr>
            <w:tcW w:w="1141" w:type="pct"/>
            <w:gridSpan w:val="2"/>
            <w:tcBorders>
              <w:tl2br w:val="nil"/>
              <w:tr2bl w:val="nil"/>
            </w:tcBorders>
            <w:shd w:val="clear" w:color="auto" w:fill="auto"/>
            <w:noWrap/>
            <w:vAlign w:val="center"/>
          </w:tcPr>
          <w:p>
            <w:pPr>
              <w:jc w:val="center"/>
              <w:rPr>
                <w:rFonts w:hint="eastAsia" w:ascii="仿宋" w:hAnsi="仿宋" w:eastAsia="仿宋" w:cs="仿宋"/>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8" w:hRule="atLeast"/>
        </w:trPr>
        <w:tc>
          <w:tcPr>
            <w:tcW w:w="1661"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 xml:space="preserve">部门基本支出预算调整 </w:t>
            </w:r>
          </w:p>
        </w:tc>
        <w:tc>
          <w:tcPr>
            <w:tcW w:w="1037" w:type="pct"/>
            <w:gridSpan w:val="2"/>
            <w:tcBorders>
              <w:tl2br w:val="nil"/>
              <w:tr2bl w:val="nil"/>
            </w:tcBorders>
            <w:shd w:val="clear" w:color="auto" w:fill="auto"/>
            <w:noWrap/>
            <w:vAlign w:val="center"/>
          </w:tcPr>
          <w:p>
            <w:pPr>
              <w:jc w:val="center"/>
              <w:rPr>
                <w:rFonts w:hint="eastAsia" w:ascii="仿宋" w:hAnsi="仿宋" w:eastAsia="仿宋" w:cs="仿宋"/>
                <w:i w:val="0"/>
                <w:iCs w:val="0"/>
                <w:color w:val="000000"/>
                <w:sz w:val="20"/>
                <w:szCs w:val="20"/>
                <w:u w:val="none"/>
              </w:rPr>
            </w:pPr>
          </w:p>
        </w:tc>
        <w:tc>
          <w:tcPr>
            <w:tcW w:w="1158" w:type="pct"/>
            <w:gridSpan w:val="2"/>
            <w:tcBorders>
              <w:tl2br w:val="nil"/>
              <w:tr2bl w:val="nil"/>
            </w:tcBorders>
            <w:shd w:val="clear" w:color="auto" w:fill="auto"/>
            <w:noWrap/>
            <w:vAlign w:val="center"/>
          </w:tcPr>
          <w:p>
            <w:pPr>
              <w:jc w:val="center"/>
              <w:rPr>
                <w:rFonts w:hint="eastAsia" w:ascii="仿宋" w:hAnsi="仿宋" w:eastAsia="仿宋" w:cs="仿宋"/>
                <w:i w:val="0"/>
                <w:iCs w:val="0"/>
                <w:color w:val="000000"/>
                <w:sz w:val="20"/>
                <w:szCs w:val="20"/>
                <w:u w:val="none"/>
              </w:rPr>
            </w:pPr>
          </w:p>
        </w:tc>
        <w:tc>
          <w:tcPr>
            <w:tcW w:w="1141" w:type="pct"/>
            <w:gridSpan w:val="2"/>
            <w:tcBorders>
              <w:tl2br w:val="nil"/>
              <w:tr2bl w:val="nil"/>
            </w:tcBorders>
            <w:shd w:val="clear" w:color="auto" w:fill="auto"/>
            <w:noWrap/>
            <w:vAlign w:val="center"/>
          </w:tcPr>
          <w:p>
            <w:pPr>
              <w:jc w:val="center"/>
              <w:rPr>
                <w:rFonts w:hint="eastAsia" w:ascii="仿宋" w:hAnsi="仿宋" w:eastAsia="仿宋" w:cs="仿宋"/>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876" w:hRule="atLeast"/>
        </w:trPr>
        <w:tc>
          <w:tcPr>
            <w:tcW w:w="1661" w:type="pct"/>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kern w:val="0"/>
                <w:sz w:val="20"/>
                <w:szCs w:val="20"/>
                <w:u w:val="none"/>
                <w:lang w:val="en-US" w:eastAsia="zh-CN" w:bidi="ar"/>
              </w:rPr>
            </w:pPr>
            <w:r>
              <w:rPr>
                <w:rFonts w:hint="eastAsia" w:ascii="仿宋_GB2312" w:hAnsi="仿宋_GB2312" w:eastAsia="仿宋_GB2312" w:cs="仿宋_GB2312"/>
                <w:b/>
                <w:bCs/>
                <w:i w:val="0"/>
                <w:iCs w:val="0"/>
                <w:color w:val="000000"/>
                <w:kern w:val="0"/>
                <w:sz w:val="20"/>
                <w:szCs w:val="20"/>
                <w:u w:val="none"/>
                <w:lang w:val="en-US" w:eastAsia="zh-CN" w:bidi="ar"/>
              </w:rPr>
              <w:t xml:space="preserve">楼堂馆所控制情况 </w:t>
            </w:r>
          </w:p>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（2023年完工项目）</w:t>
            </w:r>
          </w:p>
        </w:tc>
        <w:tc>
          <w:tcPr>
            <w:tcW w:w="407"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kern w:val="0"/>
                <w:sz w:val="20"/>
                <w:szCs w:val="20"/>
                <w:u w:val="none"/>
                <w:lang w:val="en-US" w:eastAsia="zh-CN" w:bidi="ar"/>
              </w:rPr>
            </w:pPr>
            <w:r>
              <w:rPr>
                <w:rFonts w:hint="eastAsia" w:ascii="仿宋_GB2312" w:hAnsi="仿宋_GB2312" w:eastAsia="仿宋_GB2312" w:cs="仿宋_GB2312"/>
                <w:b/>
                <w:bCs/>
                <w:i w:val="0"/>
                <w:iCs w:val="0"/>
                <w:color w:val="000000"/>
                <w:kern w:val="0"/>
                <w:sz w:val="20"/>
                <w:szCs w:val="20"/>
                <w:u w:val="none"/>
                <w:lang w:val="en-US" w:eastAsia="zh-CN" w:bidi="ar"/>
              </w:rPr>
              <w:t xml:space="preserve">批复规模 </w:t>
            </w:r>
          </w:p>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w:t>
            </w:r>
          </w:p>
        </w:tc>
        <w:tc>
          <w:tcPr>
            <w:tcW w:w="629"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kern w:val="0"/>
                <w:sz w:val="20"/>
                <w:szCs w:val="20"/>
                <w:u w:val="none"/>
                <w:lang w:val="en-US" w:eastAsia="zh-CN" w:bidi="ar"/>
              </w:rPr>
            </w:pPr>
            <w:r>
              <w:rPr>
                <w:rFonts w:hint="eastAsia" w:ascii="仿宋_GB2312" w:hAnsi="仿宋_GB2312" w:eastAsia="仿宋_GB2312" w:cs="仿宋_GB2312"/>
                <w:b/>
                <w:bCs/>
                <w:i w:val="0"/>
                <w:iCs w:val="0"/>
                <w:color w:val="000000"/>
                <w:kern w:val="0"/>
                <w:sz w:val="20"/>
                <w:szCs w:val="20"/>
                <w:u w:val="none"/>
                <w:lang w:val="en-US" w:eastAsia="zh-CN" w:bidi="ar"/>
              </w:rPr>
              <w:t>实际规模</w:t>
            </w:r>
          </w:p>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w:t>
            </w:r>
          </w:p>
        </w:tc>
        <w:tc>
          <w:tcPr>
            <w:tcW w:w="476"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规模控制率</w:t>
            </w:r>
          </w:p>
        </w:tc>
        <w:tc>
          <w:tcPr>
            <w:tcW w:w="682"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kern w:val="0"/>
                <w:sz w:val="20"/>
                <w:szCs w:val="20"/>
                <w:u w:val="none"/>
                <w:lang w:val="en-US" w:eastAsia="zh-CN" w:bidi="ar"/>
              </w:rPr>
            </w:pPr>
            <w:r>
              <w:rPr>
                <w:rFonts w:hint="eastAsia" w:ascii="仿宋_GB2312" w:hAnsi="仿宋_GB2312" w:eastAsia="仿宋_GB2312" w:cs="仿宋_GB2312"/>
                <w:b/>
                <w:bCs/>
                <w:i w:val="0"/>
                <w:iCs w:val="0"/>
                <w:color w:val="000000"/>
                <w:kern w:val="0"/>
                <w:sz w:val="20"/>
                <w:szCs w:val="20"/>
                <w:u w:val="none"/>
                <w:lang w:val="en-US" w:eastAsia="zh-CN" w:bidi="ar"/>
              </w:rPr>
              <w:t>预算投资</w:t>
            </w:r>
          </w:p>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（万元）</w:t>
            </w:r>
          </w:p>
        </w:tc>
        <w:tc>
          <w:tcPr>
            <w:tcW w:w="502"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kern w:val="0"/>
                <w:sz w:val="20"/>
                <w:szCs w:val="20"/>
                <w:u w:val="none"/>
                <w:lang w:val="en-US" w:eastAsia="zh-CN" w:bidi="ar"/>
              </w:rPr>
            </w:pPr>
            <w:r>
              <w:rPr>
                <w:rFonts w:hint="eastAsia" w:ascii="仿宋_GB2312" w:hAnsi="仿宋_GB2312" w:eastAsia="仿宋_GB2312" w:cs="仿宋_GB2312"/>
                <w:b/>
                <w:bCs/>
                <w:i w:val="0"/>
                <w:iCs w:val="0"/>
                <w:color w:val="000000"/>
                <w:kern w:val="0"/>
                <w:sz w:val="20"/>
                <w:szCs w:val="20"/>
                <w:u w:val="none"/>
                <w:lang w:val="en-US" w:eastAsia="zh-CN" w:bidi="ar"/>
              </w:rPr>
              <w:t>实际投资</w:t>
            </w:r>
          </w:p>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（万元）</w:t>
            </w:r>
          </w:p>
        </w:tc>
        <w:tc>
          <w:tcPr>
            <w:tcW w:w="639"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投资概算控制率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4" w:hRule="atLeast"/>
        </w:trPr>
        <w:tc>
          <w:tcPr>
            <w:tcW w:w="1661" w:type="pct"/>
            <w:vMerge w:val="continue"/>
            <w:tcBorders>
              <w:tl2br w:val="nil"/>
              <w:tr2bl w:val="nil"/>
            </w:tcBorders>
            <w:shd w:val="clear" w:color="auto" w:fill="auto"/>
            <w:vAlign w:val="center"/>
          </w:tcPr>
          <w:p>
            <w:pPr>
              <w:jc w:val="center"/>
              <w:rPr>
                <w:rFonts w:hint="eastAsia" w:ascii="仿宋_GB2312" w:hAnsi="仿宋_GB2312" w:eastAsia="仿宋_GB2312" w:cs="仿宋_GB2312"/>
                <w:b/>
                <w:bCs/>
                <w:i w:val="0"/>
                <w:iCs w:val="0"/>
                <w:color w:val="000000"/>
                <w:sz w:val="20"/>
                <w:szCs w:val="20"/>
                <w:u w:val="none"/>
              </w:rPr>
            </w:pPr>
          </w:p>
        </w:tc>
        <w:tc>
          <w:tcPr>
            <w:tcW w:w="407" w:type="pct"/>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c>
          <w:tcPr>
            <w:tcW w:w="629" w:type="pct"/>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c>
          <w:tcPr>
            <w:tcW w:w="476" w:type="pct"/>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c>
          <w:tcPr>
            <w:tcW w:w="682" w:type="pct"/>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c>
          <w:tcPr>
            <w:tcW w:w="502" w:type="pct"/>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c>
          <w:tcPr>
            <w:tcW w:w="639" w:type="pct"/>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008" w:hRule="atLeast"/>
        </w:trPr>
        <w:tc>
          <w:tcPr>
            <w:tcW w:w="1661"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厉行节约保障措施</w:t>
            </w:r>
          </w:p>
        </w:tc>
        <w:tc>
          <w:tcPr>
            <w:tcW w:w="3338" w:type="pct"/>
            <w:gridSpan w:val="6"/>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bl>
    <w:p>
      <w:pPr>
        <w:pStyle w:val="16"/>
        <w:keepNext/>
        <w:keepLines/>
        <w:pageBreakBefore w:val="0"/>
        <w:widowControl w:val="0"/>
        <w:kinsoku/>
        <w:wordWrap/>
        <w:overflowPunct/>
        <w:topLinePunct w:val="0"/>
        <w:autoSpaceDE/>
        <w:autoSpaceDN/>
        <w:bidi w:val="0"/>
        <w:adjustRightInd/>
        <w:snapToGrid/>
        <w:spacing w:line="280" w:lineRule="exact"/>
        <w:ind w:left="0" w:leftChars="0" w:firstLine="0" w:firstLineChars="0"/>
        <w:textAlignment w:val="auto"/>
        <w:outlineLvl w:val="9"/>
        <w:rPr>
          <w:rFonts w:eastAsia="仿宋_GB2312"/>
          <w:kern w:val="0"/>
          <w:sz w:val="22"/>
        </w:rPr>
      </w:pPr>
    </w:p>
    <w:p>
      <w:pPr>
        <w:pStyle w:val="16"/>
        <w:keepNext/>
        <w:keepLines/>
        <w:pageBreakBefore w:val="0"/>
        <w:widowControl w:val="0"/>
        <w:kinsoku/>
        <w:wordWrap/>
        <w:overflowPunct/>
        <w:topLinePunct w:val="0"/>
        <w:autoSpaceDE/>
        <w:autoSpaceDN/>
        <w:bidi w:val="0"/>
        <w:adjustRightInd/>
        <w:snapToGrid/>
        <w:spacing w:line="280" w:lineRule="exact"/>
        <w:ind w:left="0" w:leftChars="0" w:firstLine="0" w:firstLineChars="0"/>
        <w:textAlignment w:val="auto"/>
        <w:outlineLvl w:val="9"/>
        <w:rPr>
          <w:rFonts w:hint="eastAsia"/>
          <w:lang w:val="en-US" w:eastAsia="zh-CN"/>
        </w:rPr>
      </w:pPr>
      <w:r>
        <w:rPr>
          <w:rFonts w:eastAsia="仿宋_GB2312"/>
          <w:kern w:val="0"/>
          <w:sz w:val="22"/>
        </w:rPr>
        <w:t>说明：“项目支出”需要填报基本支出以外的所有项目支出情况，“公用经费”填报基本支出中的一般商品和服务支出。</w:t>
      </w:r>
    </w:p>
    <w:p>
      <w:pPr>
        <w:widowControl w:val="0"/>
        <w:kinsoku/>
        <w:autoSpaceDE/>
        <w:autoSpaceDN/>
        <w:adjustRightInd/>
        <w:snapToGrid/>
        <w:spacing w:line="600" w:lineRule="exact"/>
        <w:jc w:val="both"/>
        <w:textAlignment w:val="auto"/>
        <w:rPr>
          <w:rFonts w:hint="default" w:ascii="Times New Roman" w:hAnsi="Times New Roman" w:eastAsia="仿宋_GB2312" w:cs="Times New Roman"/>
          <w:snapToGrid/>
          <w:color w:val="000000"/>
          <w:kern w:val="0"/>
          <w:sz w:val="24"/>
          <w:szCs w:val="24"/>
          <w:lang w:val="en-US" w:eastAsia="zh-CN" w:bidi="ar-SA"/>
        </w:rPr>
      </w:pPr>
      <w:r>
        <w:rPr>
          <w:rFonts w:hint="default" w:ascii="Times New Roman" w:hAnsi="Times New Roman" w:eastAsia="仿宋_GB2312" w:cs="Times New Roman"/>
          <w:snapToGrid/>
          <w:color w:val="000000"/>
          <w:kern w:val="0"/>
          <w:sz w:val="24"/>
          <w:szCs w:val="24"/>
          <w:lang w:val="en-US" w:eastAsia="zh-CN" w:bidi="ar-SA"/>
        </w:rPr>
        <w:t>填表人：</w:t>
      </w:r>
      <w:r>
        <w:rPr>
          <w:rFonts w:hint="eastAsia" w:ascii="Times New Roman" w:hAnsi="Times New Roman" w:eastAsia="仿宋_GB2312" w:cs="Times New Roman"/>
          <w:snapToGrid/>
          <w:color w:val="000000"/>
          <w:kern w:val="0"/>
          <w:sz w:val="24"/>
          <w:szCs w:val="24"/>
          <w:lang w:val="en-US" w:eastAsia="zh-CN" w:bidi="ar-SA"/>
        </w:rPr>
        <w:t xml:space="preserve">      </w:t>
      </w:r>
      <w:r>
        <w:rPr>
          <w:rFonts w:hint="default" w:ascii="Times New Roman" w:hAnsi="Times New Roman" w:eastAsia="仿宋_GB2312" w:cs="Times New Roman"/>
          <w:snapToGrid/>
          <w:color w:val="000000"/>
          <w:kern w:val="0"/>
          <w:sz w:val="24"/>
          <w:szCs w:val="24"/>
          <w:lang w:val="en-US" w:eastAsia="zh-CN" w:bidi="ar-SA"/>
        </w:rPr>
        <w:t xml:space="preserve">  填报日期：</w:t>
      </w:r>
      <w:r>
        <w:rPr>
          <w:rFonts w:hint="eastAsia" w:ascii="Times New Roman" w:hAnsi="Times New Roman" w:eastAsia="仿宋_GB2312" w:cs="Times New Roman"/>
          <w:snapToGrid/>
          <w:color w:val="000000"/>
          <w:kern w:val="0"/>
          <w:sz w:val="24"/>
          <w:szCs w:val="24"/>
          <w:lang w:val="en-US" w:eastAsia="zh-CN" w:bidi="ar-SA"/>
        </w:rPr>
        <w:t xml:space="preserve">        </w:t>
      </w:r>
      <w:r>
        <w:rPr>
          <w:rFonts w:hint="default" w:ascii="Times New Roman" w:hAnsi="Times New Roman" w:eastAsia="仿宋_GB2312" w:cs="Times New Roman"/>
          <w:snapToGrid/>
          <w:color w:val="000000"/>
          <w:kern w:val="0"/>
          <w:sz w:val="24"/>
          <w:szCs w:val="24"/>
          <w:lang w:val="en-US" w:eastAsia="zh-CN" w:bidi="ar-SA"/>
        </w:rPr>
        <w:t>联系电话：</w:t>
      </w:r>
      <w:r>
        <w:rPr>
          <w:rFonts w:hint="eastAsia" w:ascii="Times New Roman" w:hAnsi="Times New Roman" w:eastAsia="仿宋_GB2312" w:cs="Times New Roman"/>
          <w:snapToGrid/>
          <w:color w:val="000000"/>
          <w:kern w:val="0"/>
          <w:sz w:val="24"/>
          <w:szCs w:val="24"/>
          <w:lang w:val="en-US" w:eastAsia="zh-CN" w:bidi="ar-SA"/>
        </w:rPr>
        <w:t xml:space="preserve">       </w:t>
      </w:r>
      <w:r>
        <w:rPr>
          <w:rFonts w:hint="default" w:ascii="Times New Roman" w:hAnsi="Times New Roman" w:eastAsia="仿宋_GB2312" w:cs="Times New Roman"/>
          <w:snapToGrid/>
          <w:color w:val="000000"/>
          <w:kern w:val="0"/>
          <w:sz w:val="24"/>
          <w:szCs w:val="24"/>
          <w:lang w:val="en-US" w:eastAsia="zh-CN" w:bidi="ar-SA"/>
        </w:rPr>
        <w:t>单位负责人签字：</w:t>
      </w:r>
    </w:p>
    <w:p>
      <w:pPr>
        <w:keepNext w:val="0"/>
        <w:keepLines w:val="0"/>
        <w:pageBreakBefore w:val="0"/>
        <w:kinsoku/>
        <w:overflowPunct/>
        <w:topLinePunct w:val="0"/>
        <w:autoSpaceDE/>
        <w:bidi w:val="0"/>
        <w:spacing w:line="560" w:lineRule="exact"/>
        <w:rPr>
          <w:rFonts w:hint="eastAsia" w:ascii="黑体" w:hAnsi="黑体" w:eastAsia="黑体" w:cs="黑体"/>
          <w:bCs/>
          <w:sz w:val="32"/>
          <w:szCs w:val="32"/>
        </w:rPr>
        <w:sectPr>
          <w:footerReference r:id="rId3" w:type="default"/>
          <w:footerReference r:id="rId4" w:type="even"/>
          <w:pgSz w:w="11906" w:h="16838"/>
          <w:pgMar w:top="1588" w:right="1588" w:bottom="1588" w:left="1588" w:header="851" w:footer="992" w:gutter="0"/>
          <w:pgNumType w:start="1"/>
          <w:cols w:space="720" w:num="1"/>
          <w:titlePg/>
          <w:docGrid w:type="linesAndChars" w:linePitch="602" w:charSpace="-782"/>
        </w:sectPr>
      </w:pPr>
    </w:p>
    <w:p>
      <w:pPr>
        <w:keepNext w:val="0"/>
        <w:keepLines w:val="0"/>
        <w:pageBreakBefore w:val="0"/>
        <w:kinsoku/>
        <w:overflowPunct/>
        <w:topLinePunct w:val="0"/>
        <w:autoSpaceDE/>
        <w:bidi w:val="0"/>
        <w:spacing w:line="560" w:lineRule="exact"/>
        <w:rPr>
          <w:rFonts w:hint="eastAsia" w:ascii="黑体" w:hAnsi="黑体" w:eastAsia="黑体" w:cs="黑体"/>
          <w:bCs/>
          <w:sz w:val="32"/>
          <w:szCs w:val="32"/>
        </w:rPr>
      </w:pPr>
      <w:r>
        <w:rPr>
          <w:rFonts w:hint="eastAsia" w:ascii="黑体" w:hAnsi="黑体" w:eastAsia="黑体" w:cs="黑体"/>
          <w:bCs/>
          <w:sz w:val="32"/>
          <w:szCs w:val="32"/>
        </w:rPr>
        <w:t>附件</w:t>
      </w:r>
      <w:r>
        <w:rPr>
          <w:rFonts w:hint="eastAsia" w:ascii="黑体" w:hAnsi="黑体" w:eastAsia="黑体" w:cs="黑体"/>
          <w:bCs/>
          <w:sz w:val="32"/>
          <w:szCs w:val="32"/>
          <w:lang w:val="en-US" w:eastAsia="zh-CN"/>
        </w:rPr>
        <w:t>3-1</w:t>
      </w:r>
      <w:r>
        <w:rPr>
          <w:rFonts w:hint="eastAsia" w:ascii="黑体" w:hAnsi="黑体" w:eastAsia="黑体" w:cs="黑体"/>
          <w:bCs/>
          <w:sz w:val="32"/>
          <w:szCs w:val="32"/>
        </w:rPr>
        <w:t>：</w:t>
      </w:r>
    </w:p>
    <w:p>
      <w:pPr>
        <w:keepNext w:val="0"/>
        <w:keepLines w:val="0"/>
        <w:pageBreakBefore w:val="0"/>
        <w:kinsoku/>
        <w:overflowPunct/>
        <w:topLinePunct w:val="0"/>
        <w:autoSpaceDE/>
        <w:bidi w:val="0"/>
        <w:spacing w:line="560" w:lineRule="exact"/>
        <w:rPr>
          <w:rFonts w:hint="eastAsia" w:ascii="黑体" w:hAnsi="黑体" w:eastAsia="黑体" w:cs="黑体"/>
          <w:bCs/>
          <w:sz w:val="32"/>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0"/>
        <w:rPr>
          <w:rFonts w:hint="eastAsia" w:ascii="宋体" w:hAnsi="宋体" w:eastAsia="宋体" w:cs="宋体"/>
          <w:b/>
          <w:bCs w:val="0"/>
          <w:sz w:val="46"/>
          <w:szCs w:val="46"/>
        </w:rPr>
      </w:pPr>
      <w:r>
        <w:rPr>
          <w:rFonts w:hint="eastAsia" w:ascii="宋体" w:hAnsi="宋体" w:eastAsia="宋体" w:cs="宋体"/>
          <w:b/>
          <w:bCs w:val="0"/>
          <w:sz w:val="46"/>
          <w:szCs w:val="46"/>
        </w:rPr>
        <w:t>岳阳市云溪区</w:t>
      </w:r>
      <w:r>
        <w:rPr>
          <w:rFonts w:hint="eastAsia" w:ascii="宋体" w:hAnsi="宋体" w:eastAsia="宋体" w:cs="宋体"/>
          <w:b/>
          <w:bCs w:val="0"/>
          <w:sz w:val="46"/>
          <w:szCs w:val="46"/>
          <w:u w:val="single"/>
        </w:rPr>
        <w:t>20</w:t>
      </w:r>
      <w:r>
        <w:rPr>
          <w:rFonts w:hint="eastAsia" w:ascii="宋体" w:hAnsi="宋体" w:eastAsia="宋体" w:cs="宋体"/>
          <w:b/>
          <w:bCs w:val="0"/>
          <w:sz w:val="46"/>
          <w:szCs w:val="46"/>
          <w:u w:val="single"/>
          <w:lang w:val="en-US" w:eastAsia="zh-CN"/>
        </w:rPr>
        <w:t>23</w:t>
      </w:r>
      <w:r>
        <w:rPr>
          <w:rFonts w:hint="eastAsia" w:ascii="宋体" w:hAnsi="宋体" w:eastAsia="宋体" w:cs="宋体"/>
          <w:b/>
          <w:bCs w:val="0"/>
          <w:sz w:val="46"/>
          <w:szCs w:val="46"/>
        </w:rPr>
        <w:t>年度部门整体支出</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val="0"/>
          <w:sz w:val="46"/>
          <w:szCs w:val="46"/>
        </w:rPr>
      </w:pPr>
      <w:r>
        <w:rPr>
          <w:rFonts w:hint="eastAsia" w:ascii="宋体" w:hAnsi="宋体" w:eastAsia="宋体" w:cs="宋体"/>
          <w:b/>
          <w:bCs w:val="0"/>
          <w:sz w:val="46"/>
          <w:szCs w:val="46"/>
        </w:rPr>
        <w:t>绩效评价自评报告</w:t>
      </w:r>
    </w:p>
    <w:p>
      <w:pPr>
        <w:keepNext w:val="0"/>
        <w:keepLines w:val="0"/>
        <w:pageBreakBefore w:val="0"/>
        <w:kinsoku/>
        <w:overflowPunct/>
        <w:topLinePunct w:val="0"/>
        <w:autoSpaceDE/>
        <w:bidi w:val="0"/>
        <w:spacing w:line="560" w:lineRule="exact"/>
        <w:rPr>
          <w:rFonts w:hint="eastAsia" w:eastAsia="仿宋_GB2312"/>
          <w:b/>
          <w:sz w:val="32"/>
        </w:rPr>
      </w:pPr>
    </w:p>
    <w:p>
      <w:pPr>
        <w:keepNext w:val="0"/>
        <w:keepLines w:val="0"/>
        <w:pageBreakBefore w:val="0"/>
        <w:kinsoku/>
        <w:overflowPunct/>
        <w:topLinePunct w:val="0"/>
        <w:autoSpaceDE/>
        <w:bidi w:val="0"/>
        <w:spacing w:line="560" w:lineRule="exact"/>
        <w:rPr>
          <w:rFonts w:hint="eastAsia" w:eastAsia="仿宋_GB2312"/>
          <w:b/>
          <w:sz w:val="32"/>
          <w:lang w:val="en-US" w:eastAsia="zh-CN"/>
        </w:rPr>
      </w:pPr>
      <w:r>
        <w:rPr>
          <w:rFonts w:hint="eastAsia" w:eastAsia="仿宋_GB2312"/>
          <w:b/>
          <w:sz w:val="32"/>
          <w:lang w:val="en-US" w:eastAsia="zh-CN"/>
        </w:rPr>
        <w:t xml:space="preserve"> </w:t>
      </w:r>
    </w:p>
    <w:p>
      <w:pPr>
        <w:keepNext w:val="0"/>
        <w:keepLines w:val="0"/>
        <w:pageBreakBefore w:val="0"/>
        <w:kinsoku/>
        <w:overflowPunct/>
        <w:topLinePunct w:val="0"/>
        <w:autoSpaceDE/>
        <w:bidi w:val="0"/>
        <w:spacing w:line="560" w:lineRule="exact"/>
        <w:rPr>
          <w:rFonts w:hint="eastAsia" w:eastAsia="仿宋_GB2312"/>
          <w:b/>
          <w:sz w:val="32"/>
          <w:lang w:val="en-US" w:eastAsia="zh-CN"/>
        </w:rPr>
      </w:pPr>
    </w:p>
    <w:p>
      <w:pPr>
        <w:keepNext w:val="0"/>
        <w:keepLines w:val="0"/>
        <w:pageBreakBefore w:val="0"/>
        <w:kinsoku/>
        <w:overflowPunct/>
        <w:topLinePunct w:val="0"/>
        <w:autoSpaceDE/>
        <w:bidi w:val="0"/>
        <w:spacing w:line="560" w:lineRule="exact"/>
        <w:rPr>
          <w:rFonts w:hint="eastAsia" w:eastAsia="仿宋_GB2312"/>
          <w:b/>
          <w:sz w:val="32"/>
          <w:lang w:val="en-US" w:eastAsia="zh-CN"/>
        </w:rPr>
      </w:pPr>
    </w:p>
    <w:p>
      <w:pPr>
        <w:keepNext w:val="0"/>
        <w:keepLines w:val="0"/>
        <w:pageBreakBefore w:val="0"/>
        <w:kinsoku/>
        <w:overflowPunct/>
        <w:topLinePunct w:val="0"/>
        <w:autoSpaceDE/>
        <w:bidi w:val="0"/>
        <w:spacing w:line="560" w:lineRule="exact"/>
        <w:rPr>
          <w:rFonts w:hint="eastAsia" w:eastAsia="仿宋_GB2312"/>
          <w:b/>
          <w:sz w:val="32"/>
        </w:rPr>
      </w:pPr>
    </w:p>
    <w:p>
      <w:pPr>
        <w:keepNext w:val="0"/>
        <w:keepLines w:val="0"/>
        <w:pageBreakBefore w:val="0"/>
        <w:kinsoku/>
        <w:overflowPunct/>
        <w:topLinePunct w:val="0"/>
        <w:autoSpaceDE/>
        <w:bidi w:val="0"/>
        <w:spacing w:line="560" w:lineRule="exact"/>
        <w:ind w:firstLine="476" w:firstLineChars="150"/>
        <w:rPr>
          <w:rFonts w:hint="eastAsia" w:eastAsia="仿宋_GB2312"/>
          <w:sz w:val="32"/>
          <w:szCs w:val="32"/>
          <w:u w:val="single"/>
        </w:rPr>
      </w:pPr>
      <w:r>
        <w:rPr>
          <w:rFonts w:hint="eastAsia" w:eastAsia="仿宋_GB2312"/>
          <w:sz w:val="32"/>
          <w:szCs w:val="32"/>
        </w:rPr>
        <w:t>部门(单位)名称：</w:t>
      </w:r>
      <w:r>
        <w:rPr>
          <w:rFonts w:hint="eastAsia" w:eastAsia="仿宋_GB2312"/>
          <w:sz w:val="32"/>
          <w:szCs w:val="32"/>
          <w:u w:val="single"/>
        </w:rPr>
        <w:t xml:space="preserve"> </w:t>
      </w:r>
      <w:r>
        <w:rPr>
          <w:rFonts w:hint="eastAsia" w:eastAsia="仿宋_GB2312"/>
          <w:sz w:val="32"/>
          <w:szCs w:val="32"/>
          <w:u w:val="single"/>
          <w:lang w:eastAsia="zh-CN"/>
        </w:rPr>
        <w:t>岳阳市云溪区接待服务中心</w:t>
      </w:r>
      <w:r>
        <w:rPr>
          <w:rFonts w:hint="eastAsia" w:eastAsia="仿宋_GB2312"/>
          <w:sz w:val="32"/>
          <w:szCs w:val="32"/>
          <w:u w:val="single"/>
        </w:rPr>
        <w:t xml:space="preserve">  </w:t>
      </w:r>
    </w:p>
    <w:p>
      <w:pPr>
        <w:keepNext w:val="0"/>
        <w:keepLines w:val="0"/>
        <w:pageBreakBefore w:val="0"/>
        <w:kinsoku/>
        <w:overflowPunct/>
        <w:topLinePunct w:val="0"/>
        <w:autoSpaceDE/>
        <w:bidi w:val="0"/>
        <w:spacing w:line="560" w:lineRule="exact"/>
        <w:ind w:firstLine="476" w:firstLineChars="150"/>
        <w:rPr>
          <w:rFonts w:hint="eastAsia" w:eastAsia="仿宋_GB2312"/>
          <w:spacing w:val="20"/>
          <w:sz w:val="32"/>
          <w:szCs w:val="32"/>
        </w:rPr>
      </w:pPr>
      <w:r>
        <w:rPr>
          <w:rFonts w:hint="eastAsia" w:eastAsia="仿宋_GB2312"/>
          <w:sz w:val="32"/>
          <w:szCs w:val="32"/>
        </w:rPr>
        <w:t>预</w:t>
      </w:r>
      <w:r>
        <w:rPr>
          <w:rFonts w:hint="eastAsia" w:eastAsia="仿宋_GB2312"/>
          <w:spacing w:val="30"/>
          <w:sz w:val="32"/>
          <w:szCs w:val="32"/>
        </w:rPr>
        <w:t xml:space="preserve"> 算 编 码：</w:t>
      </w:r>
      <w:r>
        <w:rPr>
          <w:rFonts w:hint="eastAsia" w:eastAsia="仿宋_GB2312"/>
          <w:spacing w:val="20"/>
          <w:sz w:val="32"/>
          <w:szCs w:val="32"/>
          <w:u w:val="single"/>
        </w:rPr>
        <w:t xml:space="preserve"> </w:t>
      </w:r>
      <w:r>
        <w:rPr>
          <w:rFonts w:hint="eastAsia" w:eastAsia="仿宋_GB2312"/>
          <w:spacing w:val="20"/>
          <w:sz w:val="32"/>
          <w:szCs w:val="32"/>
          <w:u w:val="single"/>
          <w:lang w:val="en-US" w:eastAsia="zh-CN"/>
        </w:rPr>
        <w:t>103001</w:t>
      </w:r>
      <w:r>
        <w:rPr>
          <w:rFonts w:hint="eastAsia" w:eastAsia="仿宋_GB2312"/>
          <w:spacing w:val="20"/>
          <w:sz w:val="32"/>
          <w:szCs w:val="32"/>
          <w:u w:val="single"/>
        </w:rPr>
        <w:t xml:space="preserve">      </w:t>
      </w:r>
      <w:r>
        <w:rPr>
          <w:rFonts w:hint="eastAsia" w:eastAsia="仿宋_GB2312"/>
          <w:spacing w:val="20"/>
          <w:sz w:val="32"/>
          <w:szCs w:val="32"/>
          <w:u w:val="single"/>
          <w:lang w:val="en-US" w:eastAsia="zh-CN"/>
        </w:rPr>
        <w:t xml:space="preserve">    </w:t>
      </w:r>
    </w:p>
    <w:p>
      <w:pPr>
        <w:keepNext w:val="0"/>
        <w:keepLines w:val="0"/>
        <w:pageBreakBefore w:val="0"/>
        <w:kinsoku/>
        <w:overflowPunct/>
        <w:topLinePunct w:val="0"/>
        <w:autoSpaceDE/>
        <w:bidi w:val="0"/>
        <w:spacing w:line="560" w:lineRule="exact"/>
        <w:ind w:firstLine="476" w:firstLineChars="150"/>
        <w:rPr>
          <w:rFonts w:hint="eastAsia" w:eastAsia="仿宋_GB2312"/>
          <w:sz w:val="32"/>
          <w:szCs w:val="32"/>
        </w:rPr>
      </w:pPr>
      <w:r>
        <w:rPr>
          <w:rFonts w:hint="eastAsia" w:eastAsia="仿宋_GB2312"/>
          <w:sz w:val="32"/>
          <w:szCs w:val="32"/>
        </w:rPr>
        <w:t>评价方式：部门（单位）绩效自评</w:t>
      </w:r>
    </w:p>
    <w:p>
      <w:pPr>
        <w:keepNext w:val="0"/>
        <w:keepLines w:val="0"/>
        <w:pageBreakBefore w:val="0"/>
        <w:kinsoku/>
        <w:overflowPunct/>
        <w:topLinePunct w:val="0"/>
        <w:autoSpaceDE/>
        <w:bidi w:val="0"/>
        <w:spacing w:line="560" w:lineRule="exact"/>
        <w:ind w:firstLine="476" w:firstLineChars="150"/>
        <w:rPr>
          <w:rFonts w:hint="eastAsia" w:eastAsia="仿宋_GB2312"/>
          <w:sz w:val="32"/>
          <w:szCs w:val="32"/>
        </w:rPr>
      </w:pPr>
      <w:r>
        <w:rPr>
          <w:rFonts w:hint="eastAsia" w:eastAsia="仿宋_GB2312"/>
          <w:sz w:val="32"/>
          <w:szCs w:val="32"/>
        </w:rPr>
        <w:t xml:space="preserve">评价机构：部门（单位）评价组   </w:t>
      </w:r>
    </w:p>
    <w:p>
      <w:pPr>
        <w:keepNext w:val="0"/>
        <w:keepLines w:val="0"/>
        <w:pageBreakBefore w:val="0"/>
        <w:kinsoku/>
        <w:overflowPunct/>
        <w:topLinePunct w:val="0"/>
        <w:autoSpaceDE/>
        <w:bidi w:val="0"/>
        <w:spacing w:line="560" w:lineRule="exact"/>
        <w:ind w:firstLine="2188" w:firstLineChars="690"/>
        <w:rPr>
          <w:rFonts w:hint="eastAsia" w:eastAsia="仿宋_GB2312"/>
          <w:sz w:val="32"/>
        </w:rPr>
      </w:pPr>
    </w:p>
    <w:p>
      <w:pPr>
        <w:keepNext w:val="0"/>
        <w:keepLines w:val="0"/>
        <w:pageBreakBefore w:val="0"/>
        <w:kinsoku/>
        <w:overflowPunct/>
        <w:topLinePunct w:val="0"/>
        <w:autoSpaceDE/>
        <w:bidi w:val="0"/>
        <w:spacing w:line="560" w:lineRule="exact"/>
        <w:ind w:firstLine="2188" w:firstLineChars="690"/>
        <w:rPr>
          <w:rFonts w:hint="eastAsia" w:eastAsia="仿宋_GB2312"/>
          <w:sz w:val="32"/>
        </w:rPr>
      </w:pPr>
    </w:p>
    <w:p>
      <w:pPr>
        <w:keepNext w:val="0"/>
        <w:keepLines w:val="0"/>
        <w:pageBreakBefore w:val="0"/>
        <w:kinsoku/>
        <w:overflowPunct/>
        <w:topLinePunct w:val="0"/>
        <w:autoSpaceDE/>
        <w:bidi w:val="0"/>
        <w:spacing w:line="560" w:lineRule="exact"/>
        <w:ind w:firstLine="2188" w:firstLineChars="690"/>
        <w:rPr>
          <w:rFonts w:hint="eastAsia" w:eastAsia="仿宋_GB2312"/>
          <w:sz w:val="32"/>
        </w:rPr>
      </w:pPr>
    </w:p>
    <w:p>
      <w:pPr>
        <w:keepNext w:val="0"/>
        <w:keepLines w:val="0"/>
        <w:pageBreakBefore w:val="0"/>
        <w:kinsoku/>
        <w:overflowPunct/>
        <w:topLinePunct w:val="0"/>
        <w:autoSpaceDE/>
        <w:bidi w:val="0"/>
        <w:spacing w:line="560" w:lineRule="exact"/>
        <w:jc w:val="center"/>
        <w:rPr>
          <w:rFonts w:hint="eastAsia" w:eastAsia="仿宋_GB2312"/>
          <w:sz w:val="32"/>
        </w:rPr>
      </w:pPr>
    </w:p>
    <w:p>
      <w:pPr>
        <w:keepNext w:val="0"/>
        <w:keepLines w:val="0"/>
        <w:pageBreakBefore w:val="0"/>
        <w:kinsoku/>
        <w:overflowPunct/>
        <w:topLinePunct w:val="0"/>
        <w:autoSpaceDE/>
        <w:bidi w:val="0"/>
        <w:spacing w:line="560" w:lineRule="exact"/>
        <w:jc w:val="center"/>
        <w:rPr>
          <w:rFonts w:hint="eastAsia" w:eastAsia="仿宋_GB2312"/>
          <w:sz w:val="32"/>
        </w:rPr>
      </w:pPr>
      <w:r>
        <w:rPr>
          <w:rFonts w:hint="eastAsia" w:eastAsia="仿宋_GB2312"/>
          <w:sz w:val="32"/>
          <w:lang w:val="en-US" w:eastAsia="zh-CN"/>
        </w:rPr>
        <w:t xml:space="preserve">         </w:t>
      </w:r>
      <w:r>
        <w:rPr>
          <w:rFonts w:hint="eastAsia" w:eastAsia="仿宋_GB2312"/>
          <w:sz w:val="32"/>
        </w:rPr>
        <w:t>报告日期：</w:t>
      </w:r>
      <w:r>
        <w:rPr>
          <w:rFonts w:hint="eastAsia" w:eastAsia="仿宋_GB2312"/>
          <w:sz w:val="32"/>
          <w:lang w:val="en-US" w:eastAsia="zh-CN"/>
        </w:rPr>
        <w:t>2024</w:t>
      </w:r>
      <w:r>
        <w:rPr>
          <w:rFonts w:hint="eastAsia" w:eastAsia="仿宋_GB2312"/>
          <w:sz w:val="32"/>
        </w:rPr>
        <w:t xml:space="preserve"> 年 </w:t>
      </w:r>
      <w:r>
        <w:rPr>
          <w:rFonts w:hint="eastAsia" w:eastAsia="仿宋_GB2312"/>
          <w:sz w:val="32"/>
          <w:lang w:val="en-US" w:eastAsia="zh-CN"/>
        </w:rPr>
        <w:t>6</w:t>
      </w:r>
      <w:r>
        <w:rPr>
          <w:rFonts w:hint="eastAsia" w:eastAsia="仿宋_GB2312"/>
          <w:sz w:val="32"/>
        </w:rPr>
        <w:t xml:space="preserve">  月 </w:t>
      </w:r>
      <w:r>
        <w:rPr>
          <w:rFonts w:hint="eastAsia" w:eastAsia="仿宋_GB2312"/>
          <w:sz w:val="32"/>
          <w:lang w:val="en-US" w:eastAsia="zh-CN"/>
        </w:rPr>
        <w:t>17</w:t>
      </w:r>
      <w:r>
        <w:rPr>
          <w:rFonts w:hint="eastAsia" w:eastAsia="仿宋_GB2312"/>
          <w:sz w:val="32"/>
        </w:rPr>
        <w:t xml:space="preserve">  日</w:t>
      </w:r>
    </w:p>
    <w:p>
      <w:pPr>
        <w:keepNext w:val="0"/>
        <w:keepLines w:val="0"/>
        <w:pageBreakBefore w:val="0"/>
        <w:kinsoku/>
        <w:overflowPunct/>
        <w:topLinePunct w:val="0"/>
        <w:autoSpaceDE/>
        <w:autoSpaceDN w:val="0"/>
        <w:bidi w:val="0"/>
        <w:spacing w:line="560" w:lineRule="exact"/>
        <w:jc w:val="center"/>
        <w:textAlignment w:val="center"/>
        <w:rPr>
          <w:rFonts w:hint="eastAsia" w:eastAsia="仿宋_GB2312"/>
          <w:sz w:val="32"/>
          <w:szCs w:val="32"/>
        </w:rPr>
      </w:pPr>
      <w:r>
        <w:rPr>
          <w:rFonts w:hint="eastAsia" w:eastAsia="仿宋_GB2312"/>
          <w:sz w:val="32"/>
          <w:lang w:val="en-US" w:eastAsia="zh-CN"/>
        </w:rPr>
        <w:t xml:space="preserve">          </w:t>
      </w:r>
      <w:r>
        <w:rPr>
          <w:rFonts w:hint="eastAsia" w:eastAsia="仿宋_GB2312"/>
          <w:sz w:val="32"/>
          <w:lang w:eastAsia="zh-CN"/>
        </w:rPr>
        <w:t>岳阳市云溪区接待服务中心</w:t>
      </w:r>
      <w:r>
        <w:rPr>
          <w:rFonts w:hint="eastAsia" w:eastAsia="仿宋_GB2312"/>
          <w:sz w:val="32"/>
          <w:szCs w:val="32"/>
        </w:rPr>
        <w:t>（制）</w:t>
      </w:r>
    </w:p>
    <w:p>
      <w:pPr>
        <w:pStyle w:val="15"/>
        <w:rPr>
          <w:rFonts w:hint="eastAsia" w:eastAsia="仿宋_GB2312"/>
          <w:sz w:val="32"/>
          <w:szCs w:val="32"/>
        </w:rPr>
      </w:pPr>
    </w:p>
    <w:p>
      <w:pPr>
        <w:pStyle w:val="15"/>
        <w:rPr>
          <w:rFonts w:hint="eastAsia" w:eastAsia="仿宋_GB2312"/>
          <w:sz w:val="32"/>
          <w:szCs w:val="32"/>
        </w:rPr>
      </w:pPr>
    </w:p>
    <w:p>
      <w:pPr>
        <w:pStyle w:val="15"/>
        <w:rPr>
          <w:rFonts w:hint="eastAsia" w:eastAsia="仿宋_GB2312"/>
          <w:sz w:val="32"/>
          <w:szCs w:val="32"/>
        </w:rPr>
      </w:pPr>
    </w:p>
    <w:p>
      <w:pPr>
        <w:pStyle w:val="15"/>
        <w:rPr>
          <w:rFonts w:hint="eastAsia" w:eastAsia="仿宋_GB2312"/>
          <w:sz w:val="32"/>
          <w:szCs w:val="32"/>
        </w:rPr>
      </w:pPr>
    </w:p>
    <w:p>
      <w:pPr>
        <w:pStyle w:val="15"/>
        <w:rPr>
          <w:rFonts w:hint="eastAsia" w:eastAsia="仿宋_GB2312"/>
          <w:sz w:val="32"/>
          <w:szCs w:val="32"/>
        </w:rPr>
      </w:pPr>
    </w:p>
    <w:p>
      <w:pPr>
        <w:pStyle w:val="15"/>
        <w:rPr>
          <w:rFonts w:hint="eastAsia" w:eastAsia="仿宋_GB2312"/>
          <w:sz w:val="32"/>
          <w:szCs w:val="32"/>
        </w:rPr>
        <w:sectPr>
          <w:pgSz w:w="11906" w:h="16838"/>
          <w:pgMar w:top="1588" w:right="1588" w:bottom="1588" w:left="1588" w:header="851" w:footer="992" w:gutter="0"/>
          <w:pgNumType w:start="1"/>
          <w:cols w:space="720" w:num="1"/>
          <w:titlePg/>
          <w:docGrid w:type="linesAndChars" w:linePitch="602" w:charSpace="-782"/>
        </w:sectPr>
      </w:pPr>
    </w:p>
    <w:p/>
    <w:p>
      <w:pPr>
        <w:keepNext w:val="0"/>
        <w:keepLines w:val="0"/>
        <w:pageBreakBefore w:val="0"/>
        <w:widowControl/>
        <w:tabs>
          <w:tab w:val="left" w:pos="3611"/>
          <w:tab w:val="left" w:pos="4791"/>
          <w:tab w:val="left" w:pos="5951"/>
          <w:tab w:val="left" w:pos="7071"/>
          <w:tab w:val="left" w:pos="8191"/>
          <w:tab w:val="left" w:pos="9311"/>
        </w:tabs>
        <w:kinsoku/>
        <w:wordWrap/>
        <w:overflowPunct/>
        <w:topLinePunct w:val="0"/>
        <w:autoSpaceDE/>
        <w:autoSpaceDN/>
        <w:bidi w:val="0"/>
        <w:adjustRightInd/>
        <w:snapToGrid/>
        <w:spacing w:line="480" w:lineRule="exact"/>
        <w:ind w:left="91"/>
        <w:jc w:val="center"/>
        <w:textAlignment w:val="auto"/>
        <w:outlineLvl w:val="0"/>
        <w:rPr>
          <w:rFonts w:hint="eastAsia" w:ascii="方正小标宋简体" w:hAnsi="方正小标宋简体" w:eastAsia="方正小标宋简体" w:cs="方正小标宋简体"/>
          <w:color w:val="000000"/>
          <w:kern w:val="0"/>
          <w:sz w:val="36"/>
          <w:szCs w:val="36"/>
          <w:lang w:val="en-US" w:eastAsia="zh-CN"/>
        </w:rPr>
      </w:pPr>
      <w:r>
        <w:rPr>
          <w:rFonts w:hint="eastAsia" w:ascii="方正小标宋简体" w:hAnsi="方正小标宋简体" w:eastAsia="方正小标宋简体" w:cs="方正小标宋简体"/>
          <w:color w:val="000000"/>
          <w:kern w:val="0"/>
          <w:sz w:val="36"/>
          <w:szCs w:val="36"/>
          <w:lang w:val="en-US" w:eastAsia="zh-CN"/>
        </w:rPr>
        <w:t>整体支出绩效自评表</w:t>
      </w:r>
    </w:p>
    <w:tbl>
      <w:tblPr>
        <w:tblStyle w:val="9"/>
        <w:tblW w:w="5495" w:type="pct"/>
        <w:tblInd w:w="-1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752"/>
        <w:gridCol w:w="856"/>
        <w:gridCol w:w="887"/>
        <w:gridCol w:w="412"/>
        <w:gridCol w:w="1077"/>
        <w:gridCol w:w="1170"/>
        <w:gridCol w:w="990"/>
        <w:gridCol w:w="968"/>
        <w:gridCol w:w="666"/>
        <w:gridCol w:w="626"/>
        <w:gridCol w:w="96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4" w:hRule="atLeast"/>
        </w:trPr>
        <w:tc>
          <w:tcPr>
            <w:tcW w:w="858"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预算部门名称</w:t>
            </w:r>
          </w:p>
        </w:tc>
        <w:tc>
          <w:tcPr>
            <w:tcW w:w="4141" w:type="pct"/>
            <w:gridSpan w:val="9"/>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eastAsia="仿宋_GB2312"/>
                <w:kern w:val="0"/>
                <w:sz w:val="24"/>
                <w:lang w:val="en-US" w:eastAsia="zh-CN"/>
              </w:rPr>
              <w:t>岳阳市云溪区接待服务中心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858" w:type="pct"/>
            <w:gridSpan w:val="2"/>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0"/>
                <w:szCs w:val="20"/>
                <w:u w:val="none"/>
                <w:lang w:val="en-US" w:eastAsia="zh-CN" w:bidi="ar"/>
              </w:rPr>
            </w:pPr>
            <w:r>
              <w:rPr>
                <w:rFonts w:hint="eastAsia" w:ascii="仿宋_GB2312" w:hAnsi="仿宋_GB2312" w:eastAsia="仿宋_GB2312" w:cs="仿宋_GB2312"/>
                <w:i w:val="0"/>
                <w:iCs w:val="0"/>
                <w:color w:val="000000"/>
                <w:kern w:val="0"/>
                <w:sz w:val="20"/>
                <w:szCs w:val="20"/>
                <w:u w:val="none"/>
                <w:lang w:val="en-US" w:eastAsia="zh-CN" w:bidi="ar"/>
              </w:rPr>
              <w:t>年度预算申请</w:t>
            </w:r>
          </w:p>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(万元)</w:t>
            </w:r>
          </w:p>
        </w:tc>
        <w:tc>
          <w:tcPr>
            <w:tcW w:w="693" w:type="pct"/>
            <w:gridSpan w:val="2"/>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574"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年初预算数(万元)</w:t>
            </w:r>
          </w:p>
        </w:tc>
        <w:tc>
          <w:tcPr>
            <w:tcW w:w="624"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全年预算数（万元）</w:t>
            </w:r>
          </w:p>
        </w:tc>
        <w:tc>
          <w:tcPr>
            <w:tcW w:w="528"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全年执行数（万元）</w:t>
            </w:r>
          </w:p>
        </w:tc>
        <w:tc>
          <w:tcPr>
            <w:tcW w:w="872"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分值</w:t>
            </w:r>
          </w:p>
        </w:tc>
        <w:tc>
          <w:tcPr>
            <w:tcW w:w="334"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执行率</w:t>
            </w:r>
          </w:p>
        </w:tc>
        <w:tc>
          <w:tcPr>
            <w:tcW w:w="514"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6" w:hRule="atLeast"/>
        </w:trPr>
        <w:tc>
          <w:tcPr>
            <w:tcW w:w="858" w:type="pct"/>
            <w:gridSpan w:val="2"/>
            <w:vMerge w:val="continue"/>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693"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年度资金总额：</w:t>
            </w:r>
          </w:p>
        </w:tc>
        <w:tc>
          <w:tcPr>
            <w:tcW w:w="574"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0"/>
                <w:szCs w:val="20"/>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152.54</w:t>
            </w:r>
          </w:p>
        </w:tc>
        <w:tc>
          <w:tcPr>
            <w:tcW w:w="624"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0"/>
                <w:szCs w:val="20"/>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155.40</w:t>
            </w:r>
          </w:p>
        </w:tc>
        <w:tc>
          <w:tcPr>
            <w:tcW w:w="528"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0"/>
                <w:szCs w:val="20"/>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155.40</w:t>
            </w:r>
          </w:p>
        </w:tc>
        <w:tc>
          <w:tcPr>
            <w:tcW w:w="872"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0"/>
                <w:szCs w:val="20"/>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10</w:t>
            </w:r>
          </w:p>
        </w:tc>
        <w:tc>
          <w:tcPr>
            <w:tcW w:w="334"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0"/>
                <w:szCs w:val="20"/>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100.00%</w:t>
            </w:r>
          </w:p>
        </w:tc>
        <w:tc>
          <w:tcPr>
            <w:tcW w:w="514"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0"/>
                <w:szCs w:val="20"/>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10.00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4" w:hRule="atLeast"/>
        </w:trPr>
        <w:tc>
          <w:tcPr>
            <w:tcW w:w="858" w:type="pct"/>
            <w:gridSpan w:val="2"/>
            <w:vMerge w:val="continue"/>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2421" w:type="pct"/>
            <w:gridSpan w:val="5"/>
            <w:tcBorders>
              <w:tl2br w:val="nil"/>
              <w:tr2bl w:val="nil"/>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按收入性质分：</w:t>
            </w:r>
          </w:p>
        </w:tc>
        <w:tc>
          <w:tcPr>
            <w:tcW w:w="1720" w:type="pct"/>
            <w:gridSpan w:val="4"/>
            <w:tcBorders>
              <w:tl2br w:val="nil"/>
              <w:tr2bl w:val="nil"/>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按支出性质分：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4" w:hRule="atLeast"/>
        </w:trPr>
        <w:tc>
          <w:tcPr>
            <w:tcW w:w="858" w:type="pct"/>
            <w:gridSpan w:val="2"/>
            <w:vMerge w:val="continue"/>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693"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一般公共预算：</w:t>
            </w:r>
          </w:p>
        </w:tc>
        <w:tc>
          <w:tcPr>
            <w:tcW w:w="1727" w:type="pct"/>
            <w:gridSpan w:val="3"/>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153.63</w:t>
            </w:r>
          </w:p>
        </w:tc>
        <w:tc>
          <w:tcPr>
            <w:tcW w:w="872" w:type="pct"/>
            <w:gridSpan w:val="2"/>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其中:基本支出：</w:t>
            </w:r>
          </w:p>
        </w:tc>
        <w:tc>
          <w:tcPr>
            <w:tcW w:w="848" w:type="pct"/>
            <w:gridSpan w:val="2"/>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0"/>
                <w:szCs w:val="20"/>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48.40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8" w:hRule="atLeast"/>
        </w:trPr>
        <w:tc>
          <w:tcPr>
            <w:tcW w:w="858" w:type="pct"/>
            <w:gridSpan w:val="2"/>
            <w:vMerge w:val="continue"/>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693"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政府性基金拨款：</w:t>
            </w:r>
          </w:p>
        </w:tc>
        <w:tc>
          <w:tcPr>
            <w:tcW w:w="1727" w:type="pct"/>
            <w:gridSpan w:val="3"/>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p>
        </w:tc>
        <w:tc>
          <w:tcPr>
            <w:tcW w:w="872" w:type="pct"/>
            <w:gridSpan w:val="2"/>
            <w:vMerge w:val="continue"/>
            <w:tcBorders>
              <w:tl2br w:val="nil"/>
              <w:tr2bl w:val="nil"/>
            </w:tcBorders>
            <w:shd w:val="clear" w:color="auto" w:fill="auto"/>
            <w:vAlign w:val="center"/>
          </w:tcPr>
          <w:p>
            <w:pPr>
              <w:jc w:val="center"/>
              <w:rPr>
                <w:rFonts w:hint="eastAsia" w:ascii="仿宋_GB2312" w:hAnsi="仿宋_GB2312" w:eastAsia="仿宋_GB2312" w:cs="仿宋_GB2312"/>
                <w:b/>
                <w:bCs/>
                <w:i w:val="0"/>
                <w:iCs w:val="0"/>
                <w:color w:val="000000"/>
                <w:sz w:val="20"/>
                <w:szCs w:val="20"/>
                <w:u w:val="none"/>
              </w:rPr>
            </w:pPr>
          </w:p>
        </w:tc>
        <w:tc>
          <w:tcPr>
            <w:tcW w:w="848" w:type="pct"/>
            <w:gridSpan w:val="2"/>
            <w:vMerge w:val="continue"/>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0"/>
                <w:szCs w:val="20"/>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trPr>
        <w:tc>
          <w:tcPr>
            <w:tcW w:w="858" w:type="pct"/>
            <w:gridSpan w:val="2"/>
            <w:vMerge w:val="continue"/>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693"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纳入专户管理的非税收入拨款：</w:t>
            </w:r>
          </w:p>
        </w:tc>
        <w:tc>
          <w:tcPr>
            <w:tcW w:w="1727" w:type="pct"/>
            <w:gridSpan w:val="3"/>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p>
        </w:tc>
        <w:tc>
          <w:tcPr>
            <w:tcW w:w="872" w:type="pct"/>
            <w:gridSpan w:val="2"/>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项目支出：</w:t>
            </w:r>
          </w:p>
        </w:tc>
        <w:tc>
          <w:tcPr>
            <w:tcW w:w="848" w:type="pct"/>
            <w:gridSpan w:val="2"/>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0"/>
                <w:szCs w:val="20"/>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107.00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8" w:hRule="atLeast"/>
        </w:trPr>
        <w:tc>
          <w:tcPr>
            <w:tcW w:w="858" w:type="pct"/>
            <w:gridSpan w:val="2"/>
            <w:vMerge w:val="continue"/>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693"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其他资金</w:t>
            </w:r>
          </w:p>
        </w:tc>
        <w:tc>
          <w:tcPr>
            <w:tcW w:w="1727" w:type="pct"/>
            <w:gridSpan w:val="3"/>
            <w:tcBorders>
              <w:tl2br w:val="nil"/>
              <w:tr2bl w:val="nil"/>
            </w:tcBorders>
            <w:shd w:val="clear" w:color="auto" w:fill="auto"/>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sz w:val="20"/>
                <w:szCs w:val="20"/>
                <w:u w:val="none"/>
                <w:lang w:val="en-US"/>
              </w:rPr>
            </w:pPr>
            <w:r>
              <w:rPr>
                <w:rFonts w:hint="default" w:ascii="Times New Roman" w:hAnsi="Times New Roman" w:eastAsia="宋体" w:cs="Times New Roman"/>
                <w:i w:val="0"/>
                <w:iCs w:val="0"/>
                <w:color w:val="000000"/>
                <w:kern w:val="0"/>
                <w:sz w:val="20"/>
                <w:szCs w:val="20"/>
                <w:u w:val="none"/>
                <w:lang w:val="en-US" w:eastAsia="zh-CN" w:bidi="ar"/>
              </w:rPr>
              <w:t>1.77</w:t>
            </w:r>
          </w:p>
        </w:tc>
        <w:tc>
          <w:tcPr>
            <w:tcW w:w="872" w:type="pct"/>
            <w:gridSpan w:val="2"/>
            <w:vMerge w:val="continue"/>
            <w:tcBorders>
              <w:tl2br w:val="nil"/>
              <w:tr2bl w:val="nil"/>
            </w:tcBorders>
            <w:shd w:val="clear" w:color="auto" w:fill="auto"/>
            <w:vAlign w:val="center"/>
          </w:tcPr>
          <w:p>
            <w:pPr>
              <w:jc w:val="center"/>
              <w:rPr>
                <w:rFonts w:hint="eastAsia" w:ascii="仿宋_GB2312" w:hAnsi="仿宋_GB2312" w:eastAsia="仿宋_GB2312" w:cs="仿宋_GB2312"/>
                <w:b/>
                <w:bCs/>
                <w:i w:val="0"/>
                <w:iCs w:val="0"/>
                <w:color w:val="000000"/>
                <w:sz w:val="20"/>
                <w:szCs w:val="20"/>
                <w:u w:val="none"/>
              </w:rPr>
            </w:pPr>
          </w:p>
        </w:tc>
        <w:tc>
          <w:tcPr>
            <w:tcW w:w="848" w:type="pct"/>
            <w:gridSpan w:val="2"/>
            <w:vMerge w:val="continue"/>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trPr>
        <w:tc>
          <w:tcPr>
            <w:tcW w:w="858" w:type="pct"/>
            <w:gridSpan w:val="2"/>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年度总体目标</w:t>
            </w:r>
          </w:p>
        </w:tc>
        <w:tc>
          <w:tcPr>
            <w:tcW w:w="2421" w:type="pct"/>
            <w:gridSpan w:val="5"/>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预期目标</w:t>
            </w:r>
          </w:p>
        </w:tc>
        <w:tc>
          <w:tcPr>
            <w:tcW w:w="1720" w:type="pct"/>
            <w:gridSpan w:val="4"/>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实际完成情况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0" w:hRule="atLeast"/>
        </w:trPr>
        <w:tc>
          <w:tcPr>
            <w:tcW w:w="858" w:type="pct"/>
            <w:gridSpan w:val="2"/>
            <w:vMerge w:val="continue"/>
            <w:tcBorders>
              <w:tl2br w:val="nil"/>
              <w:tr2bl w:val="nil"/>
            </w:tcBorders>
            <w:shd w:val="clear" w:color="auto" w:fill="auto"/>
            <w:vAlign w:val="center"/>
          </w:tcPr>
          <w:p>
            <w:pPr>
              <w:jc w:val="center"/>
              <w:rPr>
                <w:rFonts w:hint="eastAsia" w:ascii="仿宋_GB2312" w:hAnsi="仿宋_GB2312" w:eastAsia="仿宋_GB2312" w:cs="仿宋_GB2312"/>
                <w:b/>
                <w:bCs/>
                <w:i w:val="0"/>
                <w:iCs w:val="0"/>
                <w:color w:val="000000"/>
                <w:sz w:val="20"/>
                <w:szCs w:val="20"/>
                <w:u w:val="none"/>
              </w:rPr>
            </w:pPr>
          </w:p>
        </w:tc>
        <w:tc>
          <w:tcPr>
            <w:tcW w:w="2421" w:type="pct"/>
            <w:gridSpan w:val="5"/>
            <w:tcBorders>
              <w:tl2br w:val="nil"/>
              <w:tr2bl w:val="nil"/>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0"/>
                <w:szCs w:val="20"/>
                <w:u w:val="none"/>
                <w:lang w:val="en-US" w:eastAsia="zh-CN" w:bidi="ar"/>
              </w:rPr>
            </w:pPr>
            <w:r>
              <w:rPr>
                <w:rFonts w:hint="eastAsia" w:ascii="仿宋_GB2312" w:hAnsi="仿宋_GB2312" w:eastAsia="仿宋_GB2312" w:cs="仿宋_GB2312"/>
                <w:i w:val="0"/>
                <w:iCs w:val="0"/>
                <w:color w:val="000000"/>
                <w:kern w:val="0"/>
                <w:sz w:val="20"/>
                <w:szCs w:val="20"/>
                <w:u w:val="none"/>
                <w:lang w:val="en-US" w:eastAsia="zh-CN" w:bidi="ar"/>
              </w:rPr>
              <w:t>1、做好来客接待工作，提升接待服务质量和水平；</w:t>
            </w:r>
          </w:p>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2、做好宣传推介工作。</w:t>
            </w:r>
          </w:p>
        </w:tc>
        <w:tc>
          <w:tcPr>
            <w:tcW w:w="1720" w:type="pct"/>
            <w:gridSpan w:val="4"/>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各目标全部落实到位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trPr>
        <w:tc>
          <w:tcPr>
            <w:tcW w:w="401" w:type="pct"/>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绩效指标</w:t>
            </w:r>
          </w:p>
        </w:tc>
        <w:tc>
          <w:tcPr>
            <w:tcW w:w="456" w:type="pct"/>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一级指标</w:t>
            </w:r>
          </w:p>
        </w:tc>
        <w:tc>
          <w:tcPr>
            <w:tcW w:w="473" w:type="pct"/>
            <w:vMerge w:val="restar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二级指标</w:t>
            </w:r>
          </w:p>
        </w:tc>
        <w:tc>
          <w:tcPr>
            <w:tcW w:w="794" w:type="pct"/>
            <w:gridSpan w:val="2"/>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三级指标</w:t>
            </w:r>
          </w:p>
        </w:tc>
        <w:tc>
          <w:tcPr>
            <w:tcW w:w="1152" w:type="pct"/>
            <w:gridSpan w:val="2"/>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年度指标值</w:t>
            </w:r>
          </w:p>
        </w:tc>
        <w:tc>
          <w:tcPr>
            <w:tcW w:w="516" w:type="pct"/>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实际完成值</w:t>
            </w:r>
          </w:p>
        </w:tc>
        <w:tc>
          <w:tcPr>
            <w:tcW w:w="355" w:type="pct"/>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分值</w:t>
            </w:r>
          </w:p>
        </w:tc>
        <w:tc>
          <w:tcPr>
            <w:tcW w:w="334" w:type="pct"/>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得分</w:t>
            </w:r>
          </w:p>
        </w:tc>
        <w:tc>
          <w:tcPr>
            <w:tcW w:w="514" w:type="pct"/>
            <w:vMerge w:val="restar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偏差原因分析及改进措施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9" w:hRule="atLeast"/>
        </w:trPr>
        <w:tc>
          <w:tcPr>
            <w:tcW w:w="401" w:type="pct"/>
            <w:vMerge w:val="continue"/>
            <w:tcBorders>
              <w:tl2br w:val="nil"/>
              <w:tr2bl w:val="nil"/>
            </w:tcBorders>
            <w:shd w:val="clear" w:color="auto" w:fill="auto"/>
            <w:vAlign w:val="center"/>
          </w:tcPr>
          <w:p>
            <w:pPr>
              <w:jc w:val="center"/>
              <w:rPr>
                <w:rFonts w:hint="eastAsia" w:ascii="仿宋_GB2312" w:hAnsi="仿宋_GB2312" w:eastAsia="仿宋_GB2312" w:cs="仿宋_GB2312"/>
                <w:b/>
                <w:bCs/>
                <w:i w:val="0"/>
                <w:iCs w:val="0"/>
                <w:color w:val="000000"/>
                <w:sz w:val="20"/>
                <w:szCs w:val="20"/>
                <w:u w:val="none"/>
              </w:rPr>
            </w:pPr>
          </w:p>
        </w:tc>
        <w:tc>
          <w:tcPr>
            <w:tcW w:w="456" w:type="pct"/>
            <w:vMerge w:val="continue"/>
            <w:tcBorders>
              <w:tl2br w:val="nil"/>
              <w:tr2bl w:val="nil"/>
            </w:tcBorders>
            <w:shd w:val="clear" w:color="auto" w:fill="auto"/>
            <w:vAlign w:val="center"/>
          </w:tcPr>
          <w:p>
            <w:pPr>
              <w:jc w:val="center"/>
              <w:rPr>
                <w:rFonts w:hint="eastAsia" w:ascii="仿宋_GB2312" w:hAnsi="仿宋_GB2312" w:eastAsia="仿宋_GB2312" w:cs="仿宋_GB2312"/>
                <w:b/>
                <w:bCs/>
                <w:i w:val="0"/>
                <w:iCs w:val="0"/>
                <w:color w:val="000000"/>
                <w:sz w:val="20"/>
                <w:szCs w:val="20"/>
                <w:u w:val="none"/>
              </w:rPr>
            </w:pPr>
          </w:p>
        </w:tc>
        <w:tc>
          <w:tcPr>
            <w:tcW w:w="473" w:type="pct"/>
            <w:vMerge w:val="continue"/>
            <w:tcBorders>
              <w:tl2br w:val="nil"/>
              <w:tr2bl w:val="nil"/>
            </w:tcBorders>
            <w:shd w:val="clear" w:color="auto" w:fill="auto"/>
            <w:noWrap/>
            <w:vAlign w:val="center"/>
          </w:tcPr>
          <w:p>
            <w:pPr>
              <w:jc w:val="center"/>
              <w:rPr>
                <w:rFonts w:hint="eastAsia" w:ascii="仿宋_GB2312" w:hAnsi="仿宋_GB2312" w:eastAsia="仿宋_GB2312" w:cs="仿宋_GB2312"/>
                <w:b/>
                <w:bCs/>
                <w:i w:val="0"/>
                <w:iCs w:val="0"/>
                <w:color w:val="000000"/>
                <w:sz w:val="20"/>
                <w:szCs w:val="20"/>
                <w:u w:val="none"/>
              </w:rPr>
            </w:pPr>
          </w:p>
        </w:tc>
        <w:tc>
          <w:tcPr>
            <w:tcW w:w="794" w:type="pct"/>
            <w:gridSpan w:val="2"/>
            <w:vMerge w:val="continue"/>
            <w:tcBorders>
              <w:tl2br w:val="nil"/>
              <w:tr2bl w:val="nil"/>
            </w:tcBorders>
            <w:shd w:val="clear" w:color="auto" w:fill="auto"/>
            <w:vAlign w:val="center"/>
          </w:tcPr>
          <w:p>
            <w:pPr>
              <w:jc w:val="center"/>
              <w:rPr>
                <w:rFonts w:hint="eastAsia" w:ascii="仿宋_GB2312" w:hAnsi="仿宋_GB2312" w:eastAsia="仿宋_GB2312" w:cs="仿宋_GB2312"/>
                <w:b/>
                <w:bCs/>
                <w:i w:val="0"/>
                <w:iCs w:val="0"/>
                <w:color w:val="000000"/>
                <w:sz w:val="20"/>
                <w:szCs w:val="20"/>
                <w:u w:val="none"/>
              </w:rPr>
            </w:pPr>
          </w:p>
        </w:tc>
        <w:tc>
          <w:tcPr>
            <w:tcW w:w="1152" w:type="pct"/>
            <w:gridSpan w:val="2"/>
            <w:vMerge w:val="continue"/>
            <w:tcBorders>
              <w:tl2br w:val="nil"/>
              <w:tr2bl w:val="nil"/>
            </w:tcBorders>
            <w:shd w:val="clear" w:color="auto" w:fill="auto"/>
            <w:vAlign w:val="center"/>
          </w:tcPr>
          <w:p>
            <w:pPr>
              <w:jc w:val="center"/>
              <w:rPr>
                <w:rFonts w:hint="eastAsia" w:ascii="仿宋_GB2312" w:hAnsi="仿宋_GB2312" w:eastAsia="仿宋_GB2312" w:cs="仿宋_GB2312"/>
                <w:b/>
                <w:bCs/>
                <w:i w:val="0"/>
                <w:iCs w:val="0"/>
                <w:color w:val="000000"/>
                <w:sz w:val="20"/>
                <w:szCs w:val="20"/>
                <w:u w:val="none"/>
              </w:rPr>
            </w:pPr>
          </w:p>
        </w:tc>
        <w:tc>
          <w:tcPr>
            <w:tcW w:w="516" w:type="pct"/>
            <w:vMerge w:val="continue"/>
            <w:tcBorders>
              <w:tl2br w:val="nil"/>
              <w:tr2bl w:val="nil"/>
            </w:tcBorders>
            <w:shd w:val="clear" w:color="auto" w:fill="auto"/>
            <w:vAlign w:val="center"/>
          </w:tcPr>
          <w:p>
            <w:pPr>
              <w:jc w:val="center"/>
              <w:rPr>
                <w:rFonts w:hint="eastAsia" w:ascii="仿宋_GB2312" w:hAnsi="仿宋_GB2312" w:eastAsia="仿宋_GB2312" w:cs="仿宋_GB2312"/>
                <w:b/>
                <w:bCs/>
                <w:i w:val="0"/>
                <w:iCs w:val="0"/>
                <w:color w:val="000000"/>
                <w:sz w:val="20"/>
                <w:szCs w:val="20"/>
                <w:u w:val="none"/>
              </w:rPr>
            </w:pPr>
          </w:p>
        </w:tc>
        <w:tc>
          <w:tcPr>
            <w:tcW w:w="355" w:type="pct"/>
            <w:vMerge w:val="continue"/>
            <w:tcBorders>
              <w:tl2br w:val="nil"/>
              <w:tr2bl w:val="nil"/>
            </w:tcBorders>
            <w:shd w:val="clear" w:color="auto" w:fill="auto"/>
            <w:vAlign w:val="center"/>
          </w:tcPr>
          <w:p>
            <w:pPr>
              <w:jc w:val="center"/>
              <w:rPr>
                <w:rFonts w:hint="eastAsia" w:ascii="仿宋_GB2312" w:hAnsi="仿宋_GB2312" w:eastAsia="仿宋_GB2312" w:cs="仿宋_GB2312"/>
                <w:b/>
                <w:bCs/>
                <w:i w:val="0"/>
                <w:iCs w:val="0"/>
                <w:color w:val="000000"/>
                <w:sz w:val="20"/>
                <w:szCs w:val="20"/>
                <w:u w:val="none"/>
              </w:rPr>
            </w:pPr>
          </w:p>
        </w:tc>
        <w:tc>
          <w:tcPr>
            <w:tcW w:w="334" w:type="pct"/>
            <w:vMerge w:val="continue"/>
            <w:tcBorders>
              <w:tl2br w:val="nil"/>
              <w:tr2bl w:val="nil"/>
            </w:tcBorders>
            <w:shd w:val="clear" w:color="auto" w:fill="auto"/>
            <w:vAlign w:val="center"/>
          </w:tcPr>
          <w:p>
            <w:pPr>
              <w:jc w:val="center"/>
              <w:rPr>
                <w:rFonts w:hint="eastAsia" w:ascii="仿宋_GB2312" w:hAnsi="仿宋_GB2312" w:eastAsia="仿宋_GB2312" w:cs="仿宋_GB2312"/>
                <w:b/>
                <w:bCs/>
                <w:i w:val="0"/>
                <w:iCs w:val="0"/>
                <w:color w:val="000000"/>
                <w:sz w:val="20"/>
                <w:szCs w:val="20"/>
                <w:u w:val="none"/>
              </w:rPr>
            </w:pPr>
          </w:p>
        </w:tc>
        <w:tc>
          <w:tcPr>
            <w:tcW w:w="514" w:type="pct"/>
            <w:vMerge w:val="continue"/>
            <w:tcBorders>
              <w:tl2br w:val="nil"/>
              <w:tr2bl w:val="nil"/>
            </w:tcBorders>
            <w:shd w:val="clear" w:color="auto" w:fill="auto"/>
            <w:noWrap/>
            <w:vAlign w:val="center"/>
          </w:tcPr>
          <w:p>
            <w:pPr>
              <w:jc w:val="center"/>
              <w:rPr>
                <w:rFonts w:hint="eastAsia" w:ascii="仿宋_GB2312" w:hAnsi="仿宋_GB2312" w:eastAsia="仿宋_GB2312" w:cs="仿宋_GB2312"/>
                <w:b/>
                <w:bCs/>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trPr>
        <w:tc>
          <w:tcPr>
            <w:tcW w:w="401" w:type="pct"/>
            <w:vMerge w:val="restart"/>
            <w:tcBorders>
              <w:tl2br w:val="nil"/>
              <w:tr2bl w:val="nil"/>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绩效指标</w:t>
            </w:r>
          </w:p>
        </w:tc>
        <w:tc>
          <w:tcPr>
            <w:tcW w:w="456" w:type="pct"/>
            <w:vMerge w:val="restar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产出指标</w:t>
            </w:r>
          </w:p>
        </w:tc>
        <w:tc>
          <w:tcPr>
            <w:tcW w:w="473" w:type="pct"/>
            <w:vMerge w:val="restar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数量指标</w:t>
            </w:r>
          </w:p>
        </w:tc>
        <w:tc>
          <w:tcPr>
            <w:tcW w:w="794"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lang w:val="en-US" w:eastAsia="zh-CN"/>
              </w:rPr>
            </w:pPr>
            <w:r>
              <w:rPr>
                <w:rFonts w:hint="eastAsia" w:ascii="仿宋" w:hAnsi="仿宋" w:eastAsia="仿宋" w:cs="仿宋"/>
                <w:i w:val="0"/>
                <w:iCs w:val="0"/>
                <w:color w:val="000000"/>
                <w:kern w:val="0"/>
                <w:sz w:val="20"/>
                <w:szCs w:val="20"/>
                <w:u w:val="none"/>
                <w:lang w:val="en-US" w:eastAsia="zh-CN" w:bidi="ar"/>
              </w:rPr>
              <w:t>开展专题学习</w:t>
            </w:r>
          </w:p>
        </w:tc>
        <w:tc>
          <w:tcPr>
            <w:tcW w:w="1152"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≥4次</w:t>
            </w:r>
          </w:p>
        </w:tc>
        <w:tc>
          <w:tcPr>
            <w:tcW w:w="516"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4次</w:t>
            </w:r>
          </w:p>
        </w:tc>
        <w:tc>
          <w:tcPr>
            <w:tcW w:w="355"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10</w:t>
            </w:r>
          </w:p>
        </w:tc>
        <w:tc>
          <w:tcPr>
            <w:tcW w:w="334"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10</w:t>
            </w:r>
          </w:p>
        </w:tc>
        <w:tc>
          <w:tcPr>
            <w:tcW w:w="514" w:type="pct"/>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trPr>
        <w:tc>
          <w:tcPr>
            <w:tcW w:w="401" w:type="pct"/>
            <w:vMerge w:val="continue"/>
            <w:tcBorders>
              <w:tl2br w:val="nil"/>
              <w:tr2bl w:val="nil"/>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0"/>
                <w:szCs w:val="20"/>
                <w:u w:val="none"/>
                <w:lang w:val="en-US" w:eastAsia="zh-CN" w:bidi="ar"/>
              </w:rPr>
            </w:pPr>
          </w:p>
        </w:tc>
        <w:tc>
          <w:tcPr>
            <w:tcW w:w="456" w:type="pct"/>
            <w:vMerge w:val="continue"/>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0"/>
                <w:szCs w:val="20"/>
                <w:u w:val="none"/>
                <w:lang w:val="en-US" w:eastAsia="zh-CN" w:bidi="ar"/>
              </w:rPr>
            </w:pPr>
          </w:p>
        </w:tc>
        <w:tc>
          <w:tcPr>
            <w:tcW w:w="473" w:type="pct"/>
            <w:vMerge w:val="continue"/>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0"/>
                <w:szCs w:val="20"/>
                <w:u w:val="none"/>
                <w:lang w:val="en-US" w:eastAsia="zh-CN" w:bidi="ar"/>
              </w:rPr>
            </w:pPr>
          </w:p>
        </w:tc>
        <w:tc>
          <w:tcPr>
            <w:tcW w:w="794"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班子成员讲党课</w:t>
            </w:r>
          </w:p>
        </w:tc>
        <w:tc>
          <w:tcPr>
            <w:tcW w:w="1152"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kern w:val="0"/>
                <w:sz w:val="20"/>
                <w:szCs w:val="20"/>
                <w:u w:val="none"/>
                <w:lang w:val="en-US" w:eastAsia="zh-CN" w:bidi="ar"/>
              </w:rPr>
            </w:pPr>
            <w:r>
              <w:rPr>
                <w:rFonts w:hint="default" w:ascii="仿宋_GB2312" w:hAnsi="宋体" w:eastAsia="仿宋_GB2312" w:cs="仿宋_GB2312"/>
                <w:i w:val="0"/>
                <w:iCs w:val="0"/>
                <w:color w:val="000000"/>
                <w:kern w:val="0"/>
                <w:sz w:val="20"/>
                <w:szCs w:val="20"/>
                <w:u w:val="none"/>
                <w:lang w:val="en-US" w:eastAsia="zh-CN" w:bidi="ar"/>
              </w:rPr>
              <w:t>≥1次</w:t>
            </w:r>
          </w:p>
        </w:tc>
        <w:tc>
          <w:tcPr>
            <w:tcW w:w="516" w:type="pct"/>
            <w:tcBorders>
              <w:tl2br w:val="nil"/>
              <w:tr2bl w:val="nil"/>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kern w:val="0"/>
                <w:sz w:val="20"/>
                <w:szCs w:val="20"/>
                <w:u w:val="none"/>
                <w:lang w:val="en-US" w:eastAsia="zh-CN" w:bidi="ar"/>
              </w:rPr>
            </w:pPr>
            <w:r>
              <w:rPr>
                <w:rFonts w:hint="default" w:ascii="仿宋_GB2312" w:hAnsi="宋体" w:eastAsia="仿宋_GB2312" w:cs="仿宋_GB2312"/>
                <w:i w:val="0"/>
                <w:iCs w:val="0"/>
                <w:color w:val="000000"/>
                <w:kern w:val="0"/>
                <w:sz w:val="20"/>
                <w:szCs w:val="20"/>
                <w:u w:val="none"/>
                <w:lang w:val="en-US" w:eastAsia="zh-CN" w:bidi="ar"/>
              </w:rPr>
              <w:t>1次</w:t>
            </w:r>
          </w:p>
        </w:tc>
        <w:tc>
          <w:tcPr>
            <w:tcW w:w="355" w:type="pct"/>
            <w:tcBorders>
              <w:tl2br w:val="nil"/>
              <w:tr2bl w:val="nil"/>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kern w:val="0"/>
                <w:sz w:val="20"/>
                <w:szCs w:val="20"/>
                <w:u w:val="none"/>
                <w:lang w:val="en-US" w:eastAsia="zh-CN" w:bidi="ar"/>
              </w:rPr>
            </w:pPr>
            <w:r>
              <w:rPr>
                <w:rFonts w:hint="default" w:ascii="仿宋_GB2312" w:hAnsi="宋体" w:eastAsia="仿宋_GB2312" w:cs="仿宋_GB2312"/>
                <w:i w:val="0"/>
                <w:iCs w:val="0"/>
                <w:color w:val="000000"/>
                <w:kern w:val="0"/>
                <w:sz w:val="20"/>
                <w:szCs w:val="20"/>
                <w:u w:val="none"/>
                <w:lang w:val="en-US" w:eastAsia="zh-CN" w:bidi="ar"/>
              </w:rPr>
              <w:t>10</w:t>
            </w:r>
          </w:p>
        </w:tc>
        <w:tc>
          <w:tcPr>
            <w:tcW w:w="334" w:type="pct"/>
            <w:tcBorders>
              <w:tl2br w:val="nil"/>
              <w:tr2bl w:val="nil"/>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kern w:val="0"/>
                <w:sz w:val="20"/>
                <w:szCs w:val="20"/>
                <w:u w:val="none"/>
                <w:lang w:val="en-US" w:eastAsia="zh-CN" w:bidi="ar"/>
              </w:rPr>
            </w:pPr>
            <w:r>
              <w:rPr>
                <w:rFonts w:hint="default" w:ascii="仿宋_GB2312" w:hAnsi="宋体" w:eastAsia="仿宋_GB2312" w:cs="仿宋_GB2312"/>
                <w:i w:val="0"/>
                <w:iCs w:val="0"/>
                <w:color w:val="000000"/>
                <w:kern w:val="0"/>
                <w:sz w:val="20"/>
                <w:szCs w:val="20"/>
                <w:u w:val="none"/>
                <w:lang w:val="en-US" w:eastAsia="zh-CN" w:bidi="ar"/>
              </w:rPr>
              <w:t>10</w:t>
            </w:r>
          </w:p>
        </w:tc>
        <w:tc>
          <w:tcPr>
            <w:tcW w:w="514" w:type="pct"/>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8" w:hRule="atLeast"/>
        </w:trPr>
        <w:tc>
          <w:tcPr>
            <w:tcW w:w="401" w:type="pct"/>
            <w:vMerge w:val="continue"/>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456" w:type="pct"/>
            <w:vMerge w:val="continue"/>
            <w:tcBorders>
              <w:tl2br w:val="nil"/>
              <w:tr2bl w:val="nil"/>
            </w:tcBorders>
            <w:shd w:val="clear" w:color="auto" w:fill="auto"/>
            <w:noWrap/>
            <w:vAlign w:val="center"/>
          </w:tcPr>
          <w:p>
            <w:pPr>
              <w:rPr>
                <w:rFonts w:hint="eastAsia" w:ascii="仿宋_GB2312" w:hAnsi="仿宋_GB2312" w:eastAsia="仿宋_GB2312" w:cs="仿宋_GB2312"/>
                <w:i w:val="0"/>
                <w:iCs w:val="0"/>
                <w:color w:val="000000"/>
                <w:sz w:val="20"/>
                <w:szCs w:val="20"/>
                <w:u w:val="none"/>
              </w:rPr>
            </w:pPr>
          </w:p>
        </w:tc>
        <w:tc>
          <w:tcPr>
            <w:tcW w:w="473"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质量指标</w:t>
            </w:r>
          </w:p>
        </w:tc>
        <w:tc>
          <w:tcPr>
            <w:tcW w:w="1489" w:type="dxa"/>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来客接待达到“零差错”</w:t>
            </w:r>
          </w:p>
        </w:tc>
        <w:tc>
          <w:tcPr>
            <w:tcW w:w="2160" w:type="dxa"/>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来客接待达到“零差错”</w:t>
            </w:r>
          </w:p>
        </w:tc>
        <w:tc>
          <w:tcPr>
            <w:tcW w:w="968"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100%</w:t>
            </w:r>
          </w:p>
        </w:tc>
        <w:tc>
          <w:tcPr>
            <w:tcW w:w="66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10</w:t>
            </w:r>
          </w:p>
        </w:tc>
        <w:tc>
          <w:tcPr>
            <w:tcW w:w="626" w:type="dxa"/>
            <w:tcBorders>
              <w:tl2br w:val="nil"/>
              <w:tr2bl w:val="nil"/>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10</w:t>
            </w:r>
          </w:p>
        </w:tc>
        <w:tc>
          <w:tcPr>
            <w:tcW w:w="514" w:type="pct"/>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16" w:hRule="atLeast"/>
        </w:trPr>
        <w:tc>
          <w:tcPr>
            <w:tcW w:w="401" w:type="pct"/>
            <w:vMerge w:val="continue"/>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456" w:type="pct"/>
            <w:vMerge w:val="continue"/>
            <w:tcBorders>
              <w:tl2br w:val="nil"/>
              <w:tr2bl w:val="nil"/>
            </w:tcBorders>
            <w:shd w:val="clear" w:color="auto" w:fill="auto"/>
            <w:noWrap/>
            <w:vAlign w:val="center"/>
          </w:tcPr>
          <w:p>
            <w:pPr>
              <w:rPr>
                <w:rFonts w:hint="eastAsia" w:ascii="仿宋_GB2312" w:hAnsi="仿宋_GB2312" w:eastAsia="仿宋_GB2312" w:cs="仿宋_GB2312"/>
                <w:i w:val="0"/>
                <w:iCs w:val="0"/>
                <w:color w:val="000000"/>
                <w:sz w:val="20"/>
                <w:szCs w:val="20"/>
                <w:u w:val="none"/>
              </w:rPr>
            </w:pPr>
          </w:p>
        </w:tc>
        <w:tc>
          <w:tcPr>
            <w:tcW w:w="473" w:type="pc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时效指标</w:t>
            </w:r>
          </w:p>
        </w:tc>
        <w:tc>
          <w:tcPr>
            <w:tcW w:w="1489" w:type="dxa"/>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任务完成时间</w:t>
            </w:r>
          </w:p>
        </w:tc>
        <w:tc>
          <w:tcPr>
            <w:tcW w:w="2160" w:type="dxa"/>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2023年12月31日前完成</w:t>
            </w:r>
          </w:p>
        </w:tc>
        <w:tc>
          <w:tcPr>
            <w:tcW w:w="968"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2023年12月31日前完成</w:t>
            </w:r>
          </w:p>
        </w:tc>
        <w:tc>
          <w:tcPr>
            <w:tcW w:w="66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10</w:t>
            </w:r>
          </w:p>
        </w:tc>
        <w:tc>
          <w:tcPr>
            <w:tcW w:w="626" w:type="dxa"/>
            <w:tcBorders>
              <w:tl2br w:val="nil"/>
              <w:tr2bl w:val="nil"/>
            </w:tcBorders>
            <w:shd w:val="clear" w:color="auto" w:fill="auto"/>
            <w:vAlign w:val="center"/>
          </w:tcPr>
          <w:p>
            <w:pPr>
              <w:keepNext w:val="0"/>
              <w:keepLines w:val="0"/>
              <w:widowControl/>
              <w:suppressLineNumbers w:val="0"/>
              <w:jc w:val="left"/>
              <w:textAlignment w:val="center"/>
              <w:rPr>
                <w:rFonts w:hint="default" w:ascii="仿宋_GB2312" w:hAnsi="仿宋_GB2312" w:eastAsia="仿宋_GB2312" w:cs="仿宋_GB2312"/>
                <w:i w:val="0"/>
                <w:iCs w:val="0"/>
                <w:color w:val="000000"/>
                <w:sz w:val="20"/>
                <w:szCs w:val="20"/>
                <w:u w:val="none"/>
                <w:lang w:val="en-US"/>
              </w:rPr>
            </w:pPr>
            <w:r>
              <w:rPr>
                <w:rFonts w:hint="default" w:ascii="仿宋_GB2312" w:hAnsi="宋体" w:eastAsia="仿宋_GB2312" w:cs="仿宋_GB2312"/>
                <w:i w:val="0"/>
                <w:iCs w:val="0"/>
                <w:color w:val="000000"/>
                <w:kern w:val="0"/>
                <w:sz w:val="20"/>
                <w:szCs w:val="20"/>
                <w:u w:val="none"/>
                <w:lang w:val="en-US" w:eastAsia="zh-CN" w:bidi="ar"/>
              </w:rPr>
              <w:t>10</w:t>
            </w:r>
          </w:p>
        </w:tc>
        <w:tc>
          <w:tcPr>
            <w:tcW w:w="514" w:type="pct"/>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8" w:hRule="atLeast"/>
        </w:trPr>
        <w:tc>
          <w:tcPr>
            <w:tcW w:w="401" w:type="pct"/>
            <w:vMerge w:val="continue"/>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456" w:type="pct"/>
            <w:vMerge w:val="restar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效益指标</w:t>
            </w:r>
          </w:p>
        </w:tc>
        <w:tc>
          <w:tcPr>
            <w:tcW w:w="473" w:type="pc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经济效益指标</w:t>
            </w:r>
          </w:p>
        </w:tc>
        <w:tc>
          <w:tcPr>
            <w:tcW w:w="794"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p>
        </w:tc>
        <w:tc>
          <w:tcPr>
            <w:tcW w:w="1152"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p>
        </w:tc>
        <w:tc>
          <w:tcPr>
            <w:tcW w:w="516"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p>
        </w:tc>
        <w:tc>
          <w:tcPr>
            <w:tcW w:w="355"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p>
        </w:tc>
        <w:tc>
          <w:tcPr>
            <w:tcW w:w="334"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p>
        </w:tc>
        <w:tc>
          <w:tcPr>
            <w:tcW w:w="514" w:type="pct"/>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8" w:hRule="atLeast"/>
        </w:trPr>
        <w:tc>
          <w:tcPr>
            <w:tcW w:w="401" w:type="pct"/>
            <w:vMerge w:val="continue"/>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456" w:type="pct"/>
            <w:vMerge w:val="continue"/>
            <w:tcBorders>
              <w:tl2br w:val="nil"/>
              <w:tr2bl w:val="nil"/>
            </w:tcBorders>
            <w:shd w:val="clear" w:color="auto" w:fill="auto"/>
            <w:noWrap/>
            <w:vAlign w:val="center"/>
          </w:tcPr>
          <w:p>
            <w:pPr>
              <w:rPr>
                <w:rFonts w:hint="eastAsia" w:ascii="仿宋_GB2312" w:hAnsi="仿宋_GB2312" w:eastAsia="仿宋_GB2312" w:cs="仿宋_GB2312"/>
                <w:i w:val="0"/>
                <w:iCs w:val="0"/>
                <w:color w:val="000000"/>
                <w:sz w:val="20"/>
                <w:szCs w:val="20"/>
                <w:u w:val="none"/>
              </w:rPr>
            </w:pPr>
          </w:p>
        </w:tc>
        <w:tc>
          <w:tcPr>
            <w:tcW w:w="473" w:type="pct"/>
            <w:vMerge w:val="restar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社会效益指标</w:t>
            </w:r>
          </w:p>
        </w:tc>
        <w:tc>
          <w:tcPr>
            <w:tcW w:w="1489" w:type="dxa"/>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提升接待服务质量和水平；</w:t>
            </w:r>
          </w:p>
        </w:tc>
        <w:tc>
          <w:tcPr>
            <w:tcW w:w="2160" w:type="dxa"/>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逐步提升</w:t>
            </w:r>
          </w:p>
        </w:tc>
        <w:tc>
          <w:tcPr>
            <w:tcW w:w="968"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逐步提升</w:t>
            </w:r>
          </w:p>
        </w:tc>
        <w:tc>
          <w:tcPr>
            <w:tcW w:w="66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15</w:t>
            </w:r>
          </w:p>
        </w:tc>
        <w:tc>
          <w:tcPr>
            <w:tcW w:w="626" w:type="dxa"/>
            <w:tcBorders>
              <w:tl2br w:val="nil"/>
              <w:tr2bl w:val="nil"/>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15</w:t>
            </w:r>
          </w:p>
        </w:tc>
        <w:tc>
          <w:tcPr>
            <w:tcW w:w="514" w:type="pct"/>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8" w:hRule="atLeast"/>
        </w:trPr>
        <w:tc>
          <w:tcPr>
            <w:tcW w:w="401" w:type="pct"/>
            <w:vMerge w:val="continue"/>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456" w:type="pct"/>
            <w:vMerge w:val="continue"/>
            <w:tcBorders>
              <w:tl2br w:val="nil"/>
              <w:tr2bl w:val="nil"/>
            </w:tcBorders>
            <w:shd w:val="clear" w:color="auto" w:fill="auto"/>
            <w:noWrap/>
            <w:vAlign w:val="center"/>
          </w:tcPr>
          <w:p>
            <w:pPr>
              <w:rPr>
                <w:rFonts w:hint="eastAsia" w:ascii="仿宋_GB2312" w:hAnsi="仿宋_GB2312" w:eastAsia="仿宋_GB2312" w:cs="仿宋_GB2312"/>
                <w:i w:val="0"/>
                <w:iCs w:val="0"/>
                <w:color w:val="000000"/>
                <w:sz w:val="20"/>
                <w:szCs w:val="20"/>
                <w:u w:val="none"/>
              </w:rPr>
            </w:pPr>
          </w:p>
        </w:tc>
        <w:tc>
          <w:tcPr>
            <w:tcW w:w="473" w:type="pct"/>
            <w:vMerge w:val="continue"/>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0"/>
                <w:szCs w:val="20"/>
                <w:u w:val="none"/>
                <w:lang w:val="en-US" w:eastAsia="zh-CN" w:bidi="ar"/>
              </w:rPr>
            </w:pPr>
          </w:p>
        </w:tc>
        <w:tc>
          <w:tcPr>
            <w:tcW w:w="1489" w:type="dxa"/>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宣传推介云溪地方特色、工业文明及乡土文化</w:t>
            </w:r>
          </w:p>
        </w:tc>
        <w:tc>
          <w:tcPr>
            <w:tcW w:w="2160" w:type="dxa"/>
            <w:gridSpan w:val="2"/>
            <w:tcBorders>
              <w:tl2br w:val="nil"/>
              <w:tr2bl w:val="nil"/>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kern w:val="0"/>
                <w:sz w:val="20"/>
                <w:szCs w:val="20"/>
                <w:u w:val="none"/>
                <w:lang w:val="en-US" w:eastAsia="zh-CN" w:bidi="ar"/>
              </w:rPr>
            </w:pPr>
            <w:r>
              <w:rPr>
                <w:rFonts w:hint="default" w:ascii="仿宋_GB2312" w:hAnsi="宋体" w:eastAsia="仿宋_GB2312" w:cs="仿宋_GB2312"/>
                <w:i w:val="0"/>
                <w:iCs w:val="0"/>
                <w:color w:val="000000"/>
                <w:kern w:val="0"/>
                <w:sz w:val="20"/>
                <w:szCs w:val="20"/>
                <w:u w:val="none"/>
                <w:lang w:val="en-US" w:eastAsia="zh-CN" w:bidi="ar"/>
              </w:rPr>
              <w:t>宣传推介云溪地方特色、工业文明及乡土文化</w:t>
            </w:r>
          </w:p>
        </w:tc>
        <w:tc>
          <w:tcPr>
            <w:tcW w:w="968" w:type="dxa"/>
            <w:tcBorders>
              <w:tl2br w:val="nil"/>
              <w:tr2bl w:val="nil"/>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kern w:val="0"/>
                <w:sz w:val="20"/>
                <w:szCs w:val="20"/>
                <w:u w:val="none"/>
                <w:lang w:val="en-US" w:eastAsia="zh-CN" w:bidi="ar"/>
              </w:rPr>
            </w:pPr>
            <w:r>
              <w:rPr>
                <w:rFonts w:hint="default" w:ascii="仿宋_GB2312" w:hAnsi="宋体" w:eastAsia="仿宋_GB2312" w:cs="仿宋_GB2312"/>
                <w:i w:val="0"/>
                <w:iCs w:val="0"/>
                <w:color w:val="000000"/>
                <w:kern w:val="0"/>
                <w:sz w:val="20"/>
                <w:szCs w:val="20"/>
                <w:u w:val="none"/>
                <w:lang w:val="en-US" w:eastAsia="zh-CN" w:bidi="ar"/>
              </w:rPr>
              <w:t>100%</w:t>
            </w:r>
          </w:p>
        </w:tc>
        <w:tc>
          <w:tcPr>
            <w:tcW w:w="666" w:type="dxa"/>
            <w:tcBorders>
              <w:tl2br w:val="nil"/>
              <w:tr2bl w:val="nil"/>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kern w:val="0"/>
                <w:sz w:val="20"/>
                <w:szCs w:val="20"/>
                <w:u w:val="none"/>
                <w:lang w:val="en-US" w:eastAsia="zh-CN" w:bidi="ar"/>
              </w:rPr>
            </w:pPr>
            <w:r>
              <w:rPr>
                <w:rFonts w:hint="default" w:ascii="仿宋_GB2312" w:hAnsi="宋体" w:eastAsia="仿宋_GB2312" w:cs="仿宋_GB2312"/>
                <w:i w:val="0"/>
                <w:iCs w:val="0"/>
                <w:color w:val="000000"/>
                <w:kern w:val="0"/>
                <w:sz w:val="20"/>
                <w:szCs w:val="20"/>
                <w:u w:val="none"/>
                <w:lang w:val="en-US" w:eastAsia="zh-CN" w:bidi="ar"/>
              </w:rPr>
              <w:t>15</w:t>
            </w:r>
          </w:p>
        </w:tc>
        <w:tc>
          <w:tcPr>
            <w:tcW w:w="626" w:type="dxa"/>
            <w:tcBorders>
              <w:tl2br w:val="nil"/>
              <w:tr2bl w:val="nil"/>
            </w:tcBorders>
            <w:shd w:val="clear" w:color="auto" w:fill="auto"/>
            <w:vAlign w:val="center"/>
          </w:tcPr>
          <w:p>
            <w:pPr>
              <w:keepNext w:val="0"/>
              <w:keepLines w:val="0"/>
              <w:widowControl/>
              <w:suppressLineNumbers w:val="0"/>
              <w:jc w:val="left"/>
              <w:textAlignment w:val="center"/>
              <w:rPr>
                <w:rFonts w:hint="default" w:ascii="仿宋_GB2312" w:hAnsi="宋体" w:eastAsia="仿宋_GB2312" w:cs="仿宋_GB2312"/>
                <w:i w:val="0"/>
                <w:iCs w:val="0"/>
                <w:color w:val="000000"/>
                <w:kern w:val="0"/>
                <w:sz w:val="20"/>
                <w:szCs w:val="20"/>
                <w:u w:val="none"/>
                <w:lang w:val="en-US" w:eastAsia="zh-CN" w:bidi="ar"/>
              </w:rPr>
            </w:pPr>
            <w:r>
              <w:rPr>
                <w:rFonts w:hint="default" w:ascii="仿宋_GB2312" w:hAnsi="宋体" w:eastAsia="仿宋_GB2312" w:cs="仿宋_GB2312"/>
                <w:i w:val="0"/>
                <w:iCs w:val="0"/>
                <w:color w:val="000000"/>
                <w:kern w:val="0"/>
                <w:sz w:val="20"/>
                <w:szCs w:val="20"/>
                <w:u w:val="none"/>
                <w:lang w:val="en-US" w:eastAsia="zh-CN" w:bidi="ar"/>
              </w:rPr>
              <w:t>15</w:t>
            </w:r>
          </w:p>
        </w:tc>
        <w:tc>
          <w:tcPr>
            <w:tcW w:w="514" w:type="pct"/>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8" w:hRule="atLeast"/>
        </w:trPr>
        <w:tc>
          <w:tcPr>
            <w:tcW w:w="401" w:type="pct"/>
            <w:vMerge w:val="continue"/>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456" w:type="pct"/>
            <w:vMerge w:val="continue"/>
            <w:tcBorders>
              <w:tl2br w:val="nil"/>
              <w:tr2bl w:val="nil"/>
            </w:tcBorders>
            <w:shd w:val="clear" w:color="auto" w:fill="auto"/>
            <w:noWrap/>
            <w:vAlign w:val="center"/>
          </w:tcPr>
          <w:p>
            <w:pPr>
              <w:rPr>
                <w:rFonts w:hint="eastAsia" w:ascii="仿宋_GB2312" w:hAnsi="仿宋_GB2312" w:eastAsia="仿宋_GB2312" w:cs="仿宋_GB2312"/>
                <w:i w:val="0"/>
                <w:iCs w:val="0"/>
                <w:color w:val="000000"/>
                <w:sz w:val="20"/>
                <w:szCs w:val="20"/>
                <w:u w:val="none"/>
              </w:rPr>
            </w:pPr>
          </w:p>
        </w:tc>
        <w:tc>
          <w:tcPr>
            <w:tcW w:w="473" w:type="pc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生态效益指标</w:t>
            </w:r>
          </w:p>
        </w:tc>
        <w:tc>
          <w:tcPr>
            <w:tcW w:w="794"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p>
        </w:tc>
        <w:tc>
          <w:tcPr>
            <w:tcW w:w="1152"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p>
        </w:tc>
        <w:tc>
          <w:tcPr>
            <w:tcW w:w="516" w:type="pct"/>
            <w:tcBorders>
              <w:tl2br w:val="nil"/>
              <w:tr2bl w:val="nil"/>
            </w:tcBorders>
            <w:shd w:val="clear" w:color="auto" w:fill="auto"/>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sz w:val="20"/>
                <w:szCs w:val="20"/>
                <w:u w:val="none"/>
                <w:lang w:val="en-US" w:eastAsia="zh-CN"/>
              </w:rPr>
            </w:pPr>
          </w:p>
        </w:tc>
        <w:tc>
          <w:tcPr>
            <w:tcW w:w="355"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p>
        </w:tc>
        <w:tc>
          <w:tcPr>
            <w:tcW w:w="334"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p>
        </w:tc>
        <w:tc>
          <w:tcPr>
            <w:tcW w:w="514" w:type="pct"/>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8" w:hRule="atLeast"/>
        </w:trPr>
        <w:tc>
          <w:tcPr>
            <w:tcW w:w="401" w:type="pct"/>
            <w:vMerge w:val="continue"/>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456" w:type="pct"/>
            <w:vMerge w:val="continue"/>
            <w:tcBorders>
              <w:tl2br w:val="nil"/>
              <w:tr2bl w:val="nil"/>
            </w:tcBorders>
            <w:shd w:val="clear" w:color="auto" w:fill="auto"/>
            <w:noWrap/>
            <w:vAlign w:val="center"/>
          </w:tcPr>
          <w:p>
            <w:pPr>
              <w:rPr>
                <w:rFonts w:hint="eastAsia" w:ascii="仿宋_GB2312" w:hAnsi="仿宋_GB2312" w:eastAsia="仿宋_GB2312" w:cs="仿宋_GB2312"/>
                <w:i w:val="0"/>
                <w:iCs w:val="0"/>
                <w:color w:val="000000"/>
                <w:sz w:val="20"/>
                <w:szCs w:val="20"/>
                <w:u w:val="none"/>
              </w:rPr>
            </w:pPr>
          </w:p>
        </w:tc>
        <w:tc>
          <w:tcPr>
            <w:tcW w:w="473" w:type="pc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可持续影响指标</w:t>
            </w:r>
          </w:p>
        </w:tc>
        <w:tc>
          <w:tcPr>
            <w:tcW w:w="794"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p>
        </w:tc>
        <w:tc>
          <w:tcPr>
            <w:tcW w:w="1152"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p>
        </w:tc>
        <w:tc>
          <w:tcPr>
            <w:tcW w:w="516"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p>
        </w:tc>
        <w:tc>
          <w:tcPr>
            <w:tcW w:w="355"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p>
        </w:tc>
        <w:tc>
          <w:tcPr>
            <w:tcW w:w="334"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p>
        </w:tc>
        <w:tc>
          <w:tcPr>
            <w:tcW w:w="514" w:type="pct"/>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8" w:hRule="atLeast"/>
        </w:trPr>
        <w:tc>
          <w:tcPr>
            <w:tcW w:w="401" w:type="pct"/>
            <w:vMerge w:val="continue"/>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456" w:type="pc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满意度指标</w:t>
            </w:r>
          </w:p>
        </w:tc>
        <w:tc>
          <w:tcPr>
            <w:tcW w:w="473" w:type="pc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服务对象满意度指标</w:t>
            </w:r>
          </w:p>
        </w:tc>
        <w:tc>
          <w:tcPr>
            <w:tcW w:w="1489" w:type="dxa"/>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各级领导和来宾满意度</w:t>
            </w:r>
          </w:p>
        </w:tc>
        <w:tc>
          <w:tcPr>
            <w:tcW w:w="2160" w:type="dxa"/>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≥95%</w:t>
            </w:r>
          </w:p>
        </w:tc>
        <w:tc>
          <w:tcPr>
            <w:tcW w:w="968"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100%</w:t>
            </w:r>
          </w:p>
        </w:tc>
        <w:tc>
          <w:tcPr>
            <w:tcW w:w="66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10</w:t>
            </w:r>
          </w:p>
        </w:tc>
        <w:tc>
          <w:tcPr>
            <w:tcW w:w="626" w:type="dxa"/>
            <w:tcBorders>
              <w:tl2br w:val="nil"/>
              <w:tr2bl w:val="nil"/>
            </w:tcBorders>
            <w:shd w:val="clear" w:color="auto" w:fill="auto"/>
            <w:vAlign w:val="center"/>
          </w:tcPr>
          <w:p>
            <w:pPr>
              <w:keepNext w:val="0"/>
              <w:keepLines w:val="0"/>
              <w:widowControl/>
              <w:suppressLineNumbers w:val="0"/>
              <w:jc w:val="left"/>
              <w:textAlignment w:val="center"/>
              <w:rPr>
                <w:rFonts w:hint="default" w:ascii="仿宋_GB2312" w:hAnsi="仿宋_GB2312" w:eastAsia="仿宋_GB2312" w:cs="仿宋_GB2312"/>
                <w:i w:val="0"/>
                <w:iCs w:val="0"/>
                <w:color w:val="000000"/>
                <w:sz w:val="20"/>
                <w:szCs w:val="20"/>
                <w:u w:val="none"/>
                <w:lang w:val="en-US" w:eastAsia="zh-CN"/>
              </w:rPr>
            </w:pPr>
            <w:r>
              <w:rPr>
                <w:rFonts w:hint="default" w:ascii="仿宋_GB2312" w:hAnsi="宋体" w:eastAsia="仿宋_GB2312" w:cs="仿宋_GB2312"/>
                <w:i w:val="0"/>
                <w:iCs w:val="0"/>
                <w:color w:val="000000"/>
                <w:kern w:val="0"/>
                <w:sz w:val="20"/>
                <w:szCs w:val="20"/>
                <w:u w:val="none"/>
                <w:lang w:val="en-US" w:eastAsia="zh-CN" w:bidi="ar"/>
              </w:rPr>
              <w:t>10</w:t>
            </w:r>
          </w:p>
        </w:tc>
        <w:tc>
          <w:tcPr>
            <w:tcW w:w="514" w:type="pct"/>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8" w:hRule="atLeast"/>
        </w:trPr>
        <w:tc>
          <w:tcPr>
            <w:tcW w:w="401" w:type="pct"/>
            <w:vMerge w:val="continue"/>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456" w:type="pct"/>
            <w:vMerge w:val="restar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成本指标</w:t>
            </w:r>
          </w:p>
        </w:tc>
        <w:tc>
          <w:tcPr>
            <w:tcW w:w="473" w:type="pc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经济成本指标</w:t>
            </w:r>
          </w:p>
        </w:tc>
        <w:tc>
          <w:tcPr>
            <w:tcW w:w="1489" w:type="dxa"/>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预算控制数</w:t>
            </w:r>
          </w:p>
        </w:tc>
        <w:tc>
          <w:tcPr>
            <w:tcW w:w="2160" w:type="dxa"/>
            <w:gridSpan w:val="2"/>
            <w:tcBorders>
              <w:tl2br w:val="nil"/>
              <w:tr2bl w:val="nil"/>
            </w:tcBorders>
            <w:shd w:val="clear" w:color="auto" w:fill="auto"/>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sz w:val="20"/>
                <w:szCs w:val="20"/>
                <w:u w:val="none"/>
                <w:lang w:val="en-US"/>
              </w:rPr>
            </w:pPr>
            <w:r>
              <w:rPr>
                <w:rFonts w:hint="default" w:ascii="仿宋_GB2312" w:hAnsi="宋体" w:eastAsia="仿宋_GB2312" w:cs="仿宋_GB2312"/>
                <w:i w:val="0"/>
                <w:iCs w:val="0"/>
                <w:color w:val="000000"/>
                <w:kern w:val="0"/>
                <w:sz w:val="20"/>
                <w:szCs w:val="20"/>
                <w:u w:val="none"/>
                <w:lang w:val="en-US" w:eastAsia="zh-CN" w:bidi="ar"/>
              </w:rPr>
              <w:t>≤155.40</w:t>
            </w:r>
            <w:r>
              <w:rPr>
                <w:rFonts w:hint="eastAsia" w:ascii="仿宋_GB2312" w:hAnsi="宋体" w:eastAsia="仿宋_GB2312" w:cs="仿宋_GB2312"/>
                <w:i w:val="0"/>
                <w:iCs w:val="0"/>
                <w:color w:val="000000"/>
                <w:kern w:val="0"/>
                <w:sz w:val="20"/>
                <w:szCs w:val="20"/>
                <w:u w:val="none"/>
                <w:lang w:val="en-US" w:eastAsia="zh-CN" w:bidi="ar"/>
              </w:rPr>
              <w:t>万元</w:t>
            </w:r>
          </w:p>
        </w:tc>
        <w:tc>
          <w:tcPr>
            <w:tcW w:w="968" w:type="dxa"/>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155.40</w:t>
            </w:r>
            <w:r>
              <w:rPr>
                <w:rFonts w:hint="eastAsia" w:ascii="仿宋_GB2312" w:hAnsi="宋体" w:eastAsia="仿宋_GB2312" w:cs="仿宋_GB2312"/>
                <w:i w:val="0"/>
                <w:iCs w:val="0"/>
                <w:color w:val="000000"/>
                <w:kern w:val="0"/>
                <w:sz w:val="20"/>
                <w:szCs w:val="20"/>
                <w:u w:val="none"/>
                <w:lang w:val="en-US" w:eastAsia="zh-CN" w:bidi="ar"/>
              </w:rPr>
              <w:t>万元</w:t>
            </w:r>
          </w:p>
        </w:tc>
        <w:tc>
          <w:tcPr>
            <w:tcW w:w="66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10</w:t>
            </w:r>
          </w:p>
        </w:tc>
        <w:tc>
          <w:tcPr>
            <w:tcW w:w="626" w:type="dxa"/>
            <w:tcBorders>
              <w:tl2br w:val="nil"/>
              <w:tr2bl w:val="nil"/>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10</w:t>
            </w:r>
          </w:p>
        </w:tc>
        <w:tc>
          <w:tcPr>
            <w:tcW w:w="514" w:type="pct"/>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8" w:hRule="atLeast"/>
        </w:trPr>
        <w:tc>
          <w:tcPr>
            <w:tcW w:w="401" w:type="pct"/>
            <w:vMerge w:val="continue"/>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456" w:type="pct"/>
            <w:vMerge w:val="continue"/>
            <w:tcBorders>
              <w:tl2br w:val="nil"/>
              <w:tr2bl w:val="nil"/>
            </w:tcBorders>
            <w:shd w:val="clear" w:color="auto" w:fill="auto"/>
            <w:noWrap/>
            <w:vAlign w:val="center"/>
          </w:tcPr>
          <w:p>
            <w:pPr>
              <w:rPr>
                <w:rFonts w:hint="eastAsia" w:ascii="仿宋_GB2312" w:hAnsi="仿宋_GB2312" w:eastAsia="仿宋_GB2312" w:cs="仿宋_GB2312"/>
                <w:i w:val="0"/>
                <w:iCs w:val="0"/>
                <w:color w:val="000000"/>
                <w:sz w:val="20"/>
                <w:szCs w:val="20"/>
                <w:u w:val="none"/>
              </w:rPr>
            </w:pPr>
          </w:p>
        </w:tc>
        <w:tc>
          <w:tcPr>
            <w:tcW w:w="473" w:type="pc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社会成本指标</w:t>
            </w:r>
          </w:p>
        </w:tc>
        <w:tc>
          <w:tcPr>
            <w:tcW w:w="794" w:type="pct"/>
            <w:gridSpan w:val="2"/>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1152" w:type="pct"/>
            <w:gridSpan w:val="2"/>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516" w:type="pct"/>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355" w:type="pct"/>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334" w:type="pct"/>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514" w:type="pct"/>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8" w:hRule="atLeast"/>
        </w:trPr>
        <w:tc>
          <w:tcPr>
            <w:tcW w:w="401" w:type="pct"/>
            <w:vMerge w:val="continue"/>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456" w:type="pct"/>
            <w:vMerge w:val="continue"/>
            <w:tcBorders>
              <w:tl2br w:val="nil"/>
              <w:tr2bl w:val="nil"/>
            </w:tcBorders>
            <w:shd w:val="clear" w:color="auto" w:fill="auto"/>
            <w:noWrap/>
            <w:vAlign w:val="center"/>
          </w:tcPr>
          <w:p>
            <w:pPr>
              <w:rPr>
                <w:rFonts w:hint="eastAsia" w:ascii="仿宋_GB2312" w:hAnsi="仿宋_GB2312" w:eastAsia="仿宋_GB2312" w:cs="仿宋_GB2312"/>
                <w:i w:val="0"/>
                <w:iCs w:val="0"/>
                <w:color w:val="000000"/>
                <w:sz w:val="20"/>
                <w:szCs w:val="20"/>
                <w:u w:val="none"/>
              </w:rPr>
            </w:pPr>
          </w:p>
        </w:tc>
        <w:tc>
          <w:tcPr>
            <w:tcW w:w="473" w:type="pc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生态环境成本指标</w:t>
            </w:r>
          </w:p>
        </w:tc>
        <w:tc>
          <w:tcPr>
            <w:tcW w:w="794" w:type="pct"/>
            <w:gridSpan w:val="2"/>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1152" w:type="pct"/>
            <w:gridSpan w:val="2"/>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516" w:type="pct"/>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355" w:type="pct"/>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334" w:type="pct"/>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514" w:type="pct"/>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8" w:hRule="atLeast"/>
        </w:trPr>
        <w:tc>
          <w:tcPr>
            <w:tcW w:w="1331" w:type="pct"/>
            <w:gridSpan w:val="3"/>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0"/>
                <w:szCs w:val="20"/>
                <w:u w:val="none"/>
                <w:lang w:val="en-US" w:eastAsia="zh-CN" w:bidi="ar"/>
              </w:rPr>
            </w:pPr>
            <w:r>
              <w:rPr>
                <w:rFonts w:hint="eastAsia" w:ascii="仿宋_GB2312" w:hAnsi="仿宋_GB2312" w:eastAsia="仿宋_GB2312" w:cs="仿宋_GB2312"/>
                <w:color w:val="000000"/>
                <w:sz w:val="18"/>
                <w:szCs w:val="18"/>
              </w:rPr>
              <w:t>绩效自评综合得分</w:t>
            </w:r>
          </w:p>
        </w:tc>
        <w:tc>
          <w:tcPr>
            <w:tcW w:w="3668" w:type="pct"/>
            <w:gridSpan w:val="8"/>
            <w:tcBorders>
              <w:tl2br w:val="nil"/>
              <w:tr2bl w:val="nil"/>
            </w:tcBorders>
            <w:shd w:val="clear" w:color="auto" w:fill="auto"/>
            <w:vAlign w:val="center"/>
          </w:tcPr>
          <w:p>
            <w:pPr>
              <w:jc w:val="center"/>
              <w:rPr>
                <w:rFonts w:hint="default" w:ascii="仿宋_GB2312" w:hAnsi="仿宋_GB2312" w:eastAsia="仿宋_GB2312" w:cs="仿宋_GB2312"/>
                <w:i w:val="0"/>
                <w:iCs w:val="0"/>
                <w:color w:val="000000"/>
                <w:sz w:val="20"/>
                <w:szCs w:val="20"/>
                <w:u w:val="none"/>
                <w:lang w:val="en-US" w:eastAsia="zh-CN"/>
              </w:rPr>
            </w:pPr>
            <w:r>
              <w:rPr>
                <w:rFonts w:hint="eastAsia" w:ascii="仿宋_GB2312" w:hAnsi="仿宋_GB2312" w:eastAsia="仿宋_GB2312" w:cs="仿宋_GB2312"/>
                <w:i w:val="0"/>
                <w:iCs w:val="0"/>
                <w:color w:val="000000"/>
                <w:sz w:val="20"/>
                <w:szCs w:val="20"/>
                <w:u w:val="none"/>
                <w:lang w:val="en-US" w:eastAsia="zh-CN"/>
              </w:rPr>
              <w:t>100分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8" w:hRule="atLeast"/>
        </w:trPr>
        <w:tc>
          <w:tcPr>
            <w:tcW w:w="1331" w:type="pct"/>
            <w:gridSpan w:val="3"/>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0"/>
                <w:szCs w:val="20"/>
                <w:u w:val="none"/>
                <w:lang w:val="en-US" w:eastAsia="zh-CN" w:bidi="ar"/>
              </w:rPr>
            </w:pPr>
            <w:r>
              <w:rPr>
                <w:rFonts w:hint="eastAsia" w:ascii="仿宋_GB2312" w:hAnsi="仿宋_GB2312" w:eastAsia="仿宋_GB2312" w:cs="仿宋_GB2312"/>
                <w:color w:val="000000"/>
                <w:sz w:val="18"/>
                <w:szCs w:val="18"/>
              </w:rPr>
              <w:t>评价等次</w:t>
            </w:r>
          </w:p>
        </w:tc>
        <w:tc>
          <w:tcPr>
            <w:tcW w:w="3668" w:type="pct"/>
            <w:gridSpan w:val="8"/>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lang w:val="en-US" w:eastAsia="zh-CN"/>
              </w:rPr>
            </w:pPr>
            <w:r>
              <w:rPr>
                <w:rFonts w:hint="eastAsia" w:ascii="仿宋_GB2312" w:hAnsi="仿宋_GB2312" w:eastAsia="仿宋_GB2312" w:cs="仿宋_GB2312"/>
                <w:i w:val="0"/>
                <w:iCs w:val="0"/>
                <w:color w:val="000000"/>
                <w:sz w:val="20"/>
                <w:szCs w:val="20"/>
                <w:u w:val="none"/>
                <w:lang w:val="en-US" w:eastAsia="zh-CN"/>
              </w:rPr>
              <w:t>优</w:t>
            </w:r>
          </w:p>
        </w:tc>
      </w:tr>
    </w:tbl>
    <w:p>
      <w:pPr>
        <w:pStyle w:val="13"/>
      </w:pPr>
    </w:p>
    <w:p>
      <w:pPr>
        <w:pStyle w:val="13"/>
      </w:pPr>
    </w:p>
    <w:p>
      <w:pPr>
        <w:pStyle w:val="13"/>
      </w:pPr>
    </w:p>
    <w:p>
      <w:pPr>
        <w:pStyle w:val="13"/>
        <w:ind w:left="0" w:leftChars="0" w:firstLine="0" w:firstLineChars="0"/>
      </w:pPr>
    </w:p>
    <w:p>
      <w:pPr>
        <w:pStyle w:val="13"/>
        <w:ind w:left="0" w:leftChars="0" w:firstLine="0" w:firstLineChars="0"/>
      </w:pPr>
    </w:p>
    <w:p>
      <w:pPr>
        <w:pStyle w:val="13"/>
        <w:ind w:left="0" w:leftChars="0" w:firstLine="0" w:firstLineChars="0"/>
      </w:pPr>
    </w:p>
    <w:p>
      <w:pPr>
        <w:pStyle w:val="13"/>
        <w:ind w:left="0" w:leftChars="0" w:firstLine="0" w:firstLineChars="0"/>
      </w:pPr>
    </w:p>
    <w:p>
      <w:pPr>
        <w:pStyle w:val="13"/>
        <w:ind w:left="0" w:leftChars="0" w:firstLine="0" w:firstLineChars="0"/>
      </w:pPr>
    </w:p>
    <w:p>
      <w:pPr>
        <w:pStyle w:val="13"/>
        <w:ind w:left="0" w:leftChars="0" w:firstLine="0" w:firstLineChars="0"/>
      </w:pPr>
    </w:p>
    <w:p>
      <w:pPr>
        <w:pStyle w:val="13"/>
        <w:ind w:left="0" w:leftChars="0" w:firstLine="0" w:firstLineChars="0"/>
      </w:pPr>
    </w:p>
    <w:p>
      <w:pPr>
        <w:pStyle w:val="13"/>
        <w:ind w:left="0" w:leftChars="0" w:firstLine="0" w:firstLineChars="0"/>
      </w:pPr>
    </w:p>
    <w:tbl>
      <w:tblPr>
        <w:tblStyle w:val="9"/>
        <w:tblW w:w="98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5" w:type="dxa"/>
          <w:bottom w:w="0" w:type="dxa"/>
          <w:right w:w="15" w:type="dxa"/>
        </w:tblCellMar>
      </w:tblPr>
      <w:tblGrid>
        <w:gridCol w:w="1654"/>
        <w:gridCol w:w="3561"/>
        <w:gridCol w:w="1479"/>
        <w:gridCol w:w="310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680" w:hRule="atLeast"/>
          <w:jc w:val="center"/>
        </w:trPr>
        <w:tc>
          <w:tcPr>
            <w:tcW w:w="9800" w:type="dxa"/>
            <w:gridSpan w:val="4"/>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r>
              <w:rPr>
                <w:rFonts w:hint="eastAsia" w:ascii="黑体" w:hAnsi="黑体" w:eastAsia="黑体" w:cs="黑体"/>
                <w:color w:val="000000"/>
                <w:sz w:val="28"/>
                <w:szCs w:val="28"/>
              </w:rPr>
              <w:t>四、评价人员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567" w:hRule="atLeast"/>
          <w:jc w:val="center"/>
        </w:trPr>
        <w:tc>
          <w:tcPr>
            <w:tcW w:w="1654"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姓  名</w:t>
            </w:r>
          </w:p>
        </w:tc>
        <w:tc>
          <w:tcPr>
            <w:tcW w:w="3561"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职务/职称</w:t>
            </w:r>
          </w:p>
        </w:tc>
        <w:tc>
          <w:tcPr>
            <w:tcW w:w="1479"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单  位</w:t>
            </w:r>
          </w:p>
        </w:tc>
        <w:tc>
          <w:tcPr>
            <w:tcW w:w="3106"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签  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680" w:hRule="atLeast"/>
          <w:jc w:val="center"/>
        </w:trPr>
        <w:tc>
          <w:tcPr>
            <w:tcW w:w="1654"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3561"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lang w:val="en-US" w:eastAsia="zh-CN"/>
              </w:rPr>
            </w:pPr>
          </w:p>
        </w:tc>
        <w:tc>
          <w:tcPr>
            <w:tcW w:w="1479"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3106"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680" w:hRule="atLeast"/>
          <w:jc w:val="center"/>
        </w:trPr>
        <w:tc>
          <w:tcPr>
            <w:tcW w:w="1654"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3561"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1479"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3106"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680" w:hRule="atLeast"/>
          <w:jc w:val="center"/>
        </w:trPr>
        <w:tc>
          <w:tcPr>
            <w:tcW w:w="1654"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3561"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1479"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3106"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680" w:hRule="atLeast"/>
          <w:jc w:val="center"/>
        </w:trPr>
        <w:tc>
          <w:tcPr>
            <w:tcW w:w="1654"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3561"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1479"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3106"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2460" w:hRule="atLeast"/>
          <w:jc w:val="center"/>
        </w:trPr>
        <w:tc>
          <w:tcPr>
            <w:tcW w:w="9800" w:type="dxa"/>
            <w:gridSpan w:val="4"/>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评价组组长（签字）：</w:t>
            </w:r>
          </w:p>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24"/>
              </w:rPr>
            </w:pPr>
          </w:p>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24"/>
              </w:rPr>
            </w:pPr>
          </w:p>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24"/>
              </w:rPr>
            </w:pPr>
          </w:p>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24"/>
              </w:rPr>
            </w:pPr>
          </w:p>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                                                               年    月    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2190" w:hRule="atLeast"/>
          <w:jc w:val="center"/>
        </w:trPr>
        <w:tc>
          <w:tcPr>
            <w:tcW w:w="9800" w:type="dxa"/>
            <w:gridSpan w:val="4"/>
            <w:noWrap w:val="0"/>
            <w:vAlign w:val="center"/>
          </w:tcPr>
          <w:p>
            <w:pPr>
              <w:keepNext w:val="0"/>
              <w:keepLines w:val="0"/>
              <w:pageBreakBefore w:val="0"/>
              <w:widowControl w:val="0"/>
              <w:kinsoku/>
              <w:wordWrap/>
              <w:overflowPunct/>
              <w:topLinePunct w:val="0"/>
              <w:autoSpaceDE/>
              <w:autoSpaceDN w:val="0"/>
              <w:bidi w:val="0"/>
              <w:adjustRightInd/>
              <w:spacing w:line="560" w:lineRule="exact"/>
              <w:jc w:val="left"/>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部门（单位）意见：</w:t>
            </w:r>
          </w:p>
          <w:p>
            <w:pPr>
              <w:keepNext w:val="0"/>
              <w:keepLines w:val="0"/>
              <w:pageBreakBefore w:val="0"/>
              <w:widowControl w:val="0"/>
              <w:kinsoku/>
              <w:wordWrap/>
              <w:overflowPunct/>
              <w:topLinePunct w:val="0"/>
              <w:autoSpaceDE/>
              <w:autoSpaceDN w:val="0"/>
              <w:bidi w:val="0"/>
              <w:adjustRightInd/>
              <w:spacing w:line="560" w:lineRule="exact"/>
              <w:jc w:val="left"/>
              <w:textAlignment w:val="center"/>
              <w:rPr>
                <w:rFonts w:hint="eastAsia" w:ascii="仿宋_GB2312" w:hAnsi="仿宋_GB2312" w:eastAsia="仿宋_GB2312" w:cs="仿宋_GB2312"/>
                <w:color w:val="000000"/>
                <w:sz w:val="24"/>
              </w:rPr>
            </w:pPr>
          </w:p>
          <w:p>
            <w:pPr>
              <w:keepNext w:val="0"/>
              <w:keepLines w:val="0"/>
              <w:pageBreakBefore w:val="0"/>
              <w:widowControl w:val="0"/>
              <w:kinsoku/>
              <w:wordWrap/>
              <w:overflowPunct/>
              <w:topLinePunct w:val="0"/>
              <w:autoSpaceDE/>
              <w:autoSpaceDN w:val="0"/>
              <w:bidi w:val="0"/>
              <w:adjustRightInd/>
              <w:spacing w:line="560" w:lineRule="exact"/>
              <w:jc w:val="left"/>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                                         部门（单位）负责人（签章）：</w:t>
            </w:r>
          </w:p>
          <w:p>
            <w:pPr>
              <w:keepNext w:val="0"/>
              <w:keepLines w:val="0"/>
              <w:pageBreakBefore w:val="0"/>
              <w:widowControl w:val="0"/>
              <w:kinsoku/>
              <w:wordWrap/>
              <w:overflowPunct/>
              <w:topLinePunct w:val="0"/>
              <w:autoSpaceDE/>
              <w:autoSpaceDN w:val="0"/>
              <w:bidi w:val="0"/>
              <w:adjustRightInd/>
              <w:spacing w:line="560" w:lineRule="exact"/>
              <w:jc w:val="left"/>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                                                               年    月    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2560" w:hRule="atLeast"/>
          <w:jc w:val="center"/>
        </w:trPr>
        <w:tc>
          <w:tcPr>
            <w:tcW w:w="9800" w:type="dxa"/>
            <w:gridSpan w:val="4"/>
            <w:noWrap w:val="0"/>
            <w:vAlign w:val="center"/>
          </w:tcPr>
          <w:p>
            <w:pPr>
              <w:keepNext w:val="0"/>
              <w:keepLines w:val="0"/>
              <w:pageBreakBefore w:val="0"/>
              <w:widowControl w:val="0"/>
              <w:kinsoku/>
              <w:wordWrap/>
              <w:overflowPunct/>
              <w:topLinePunct w:val="0"/>
              <w:autoSpaceDE/>
              <w:bidi w:val="0"/>
              <w:adjustRightInd/>
              <w:spacing w:line="560" w:lineRule="exact"/>
              <w:rPr>
                <w:rFonts w:hint="eastAsia" w:eastAsia="仿宋_GB2312"/>
                <w:sz w:val="24"/>
              </w:rPr>
            </w:pPr>
            <w:r>
              <w:rPr>
                <w:rFonts w:hint="eastAsia" w:eastAsia="仿宋_GB2312"/>
                <w:sz w:val="24"/>
              </w:rPr>
              <w:t>财政部门归口业务股室意见：</w:t>
            </w:r>
          </w:p>
          <w:p>
            <w:pPr>
              <w:keepNext w:val="0"/>
              <w:keepLines w:val="0"/>
              <w:pageBreakBefore w:val="0"/>
              <w:widowControl w:val="0"/>
              <w:kinsoku/>
              <w:wordWrap/>
              <w:overflowPunct/>
              <w:topLinePunct w:val="0"/>
              <w:autoSpaceDE/>
              <w:bidi w:val="0"/>
              <w:adjustRightInd/>
              <w:spacing w:line="560" w:lineRule="exact"/>
              <w:rPr>
                <w:rFonts w:hint="eastAsia" w:eastAsia="仿宋_GB2312"/>
                <w:sz w:val="24"/>
              </w:rPr>
            </w:pPr>
          </w:p>
          <w:p>
            <w:pPr>
              <w:keepNext w:val="0"/>
              <w:keepLines w:val="0"/>
              <w:pageBreakBefore w:val="0"/>
              <w:widowControl w:val="0"/>
              <w:kinsoku/>
              <w:wordWrap/>
              <w:overflowPunct/>
              <w:topLinePunct w:val="0"/>
              <w:autoSpaceDE/>
              <w:bidi w:val="0"/>
              <w:adjustRightInd/>
              <w:spacing w:line="560" w:lineRule="exact"/>
              <w:rPr>
                <w:rFonts w:hint="eastAsia" w:eastAsia="仿宋_GB2312"/>
                <w:sz w:val="24"/>
              </w:rPr>
            </w:pPr>
            <w:r>
              <w:rPr>
                <w:rFonts w:hint="eastAsia" w:eastAsia="仿宋_GB2312"/>
                <w:sz w:val="24"/>
              </w:rPr>
              <w:t xml:space="preserve">                                  财政部门归口业务股室负责人（签章）：</w:t>
            </w:r>
          </w:p>
          <w:p>
            <w:pPr>
              <w:keepNext w:val="0"/>
              <w:keepLines w:val="0"/>
              <w:pageBreakBefore w:val="0"/>
              <w:widowControl w:val="0"/>
              <w:kinsoku/>
              <w:wordWrap/>
              <w:overflowPunct/>
              <w:topLinePunct w:val="0"/>
              <w:autoSpaceDE/>
              <w:autoSpaceDN w:val="0"/>
              <w:bidi w:val="0"/>
              <w:adjustRightInd/>
              <w:spacing w:line="560" w:lineRule="exact"/>
              <w:jc w:val="left"/>
              <w:textAlignment w:val="center"/>
              <w:rPr>
                <w:rFonts w:hint="eastAsia" w:ascii="仿宋_GB2312" w:hAnsi="仿宋_GB2312" w:eastAsia="仿宋_GB2312" w:cs="仿宋_GB2312"/>
                <w:color w:val="000000"/>
                <w:sz w:val="24"/>
              </w:rPr>
            </w:pPr>
            <w:r>
              <w:rPr>
                <w:rFonts w:hint="eastAsia" w:eastAsia="仿宋_GB2312"/>
                <w:sz w:val="24"/>
              </w:rPr>
              <w:t xml:space="preserve">                                                                 年    月   日</w:t>
            </w:r>
          </w:p>
        </w:tc>
      </w:tr>
    </w:tbl>
    <w:p>
      <w:pPr>
        <w:pStyle w:val="13"/>
        <w:sectPr>
          <w:pgSz w:w="11906" w:h="16838"/>
          <w:pgMar w:top="1440" w:right="1800" w:bottom="1440" w:left="1800" w:header="851" w:footer="992" w:gutter="0"/>
          <w:cols w:space="425" w:num="1"/>
          <w:docGrid w:type="lines" w:linePitch="312" w:charSpace="0"/>
        </w:sectPr>
      </w:pPr>
      <w:r>
        <w:rPr>
          <w:rFonts w:hint="eastAsia" w:eastAsia="仿宋_GB2312" w:cs="仿宋_GB2312"/>
          <w:bCs/>
          <w:sz w:val="28"/>
          <w:szCs w:val="28"/>
        </w:rPr>
        <w:t>填报人（签名）：                          联系电话：</w:t>
      </w:r>
    </w:p>
    <w:p>
      <w:pPr>
        <w:bidi w:val="0"/>
        <w:rPr>
          <w:rFonts w:hint="default"/>
          <w:lang w:val="en-US" w:eastAsia="zh-CN"/>
        </w:rPr>
      </w:pPr>
      <w:r>
        <w:rPr>
          <w:rFonts w:hint="eastAsia"/>
          <w:lang w:val="en-US" w:eastAsia="zh-CN"/>
        </w:rPr>
        <w:t>附件1</w:t>
      </w:r>
    </w:p>
    <w:p>
      <w:pPr>
        <w:bidi w:val="0"/>
        <w:jc w:val="center"/>
        <w:rPr>
          <w:rFonts w:hint="eastAsia" w:ascii="方正小标宋_GBK" w:hAnsi="方正小标宋_GBK" w:eastAsia="方正小标宋_GBK" w:cs="方正小标宋_GBK"/>
          <w:b/>
          <w:bCs/>
          <w:i w:val="0"/>
          <w:iCs w:val="0"/>
          <w:caps w:val="0"/>
          <w:color w:val="000000"/>
          <w:spacing w:val="0"/>
          <w:kern w:val="0"/>
          <w:sz w:val="44"/>
          <w:szCs w:val="44"/>
          <w:shd w:val="clear" w:fill="FFFFFF"/>
          <w:lang w:val="en-US" w:eastAsia="zh-CN" w:bidi="ar"/>
        </w:rPr>
      </w:pPr>
      <w:r>
        <w:rPr>
          <w:rFonts w:hint="eastAsia" w:ascii="方正小标宋_GBK" w:hAnsi="方正小标宋_GBK" w:eastAsia="方正小标宋_GBK" w:cs="方正小标宋_GBK"/>
          <w:b/>
          <w:bCs/>
          <w:i w:val="0"/>
          <w:iCs w:val="0"/>
          <w:caps w:val="0"/>
          <w:color w:val="000000"/>
          <w:spacing w:val="0"/>
          <w:kern w:val="0"/>
          <w:sz w:val="44"/>
          <w:szCs w:val="44"/>
          <w:shd w:val="clear" w:fill="FFFFFF"/>
          <w:lang w:val="en-US" w:eastAsia="zh-CN" w:bidi="ar"/>
        </w:rPr>
        <w:t>岳阳市云溪区接待服务中心</w:t>
      </w:r>
    </w:p>
    <w:p>
      <w:pPr>
        <w:bidi w:val="0"/>
        <w:jc w:val="center"/>
        <w:rPr>
          <w:rFonts w:hint="eastAsia" w:ascii="方正小标宋_GBK" w:hAnsi="方正小标宋_GBK" w:eastAsia="方正小标宋_GBK" w:cs="方正小标宋_GBK"/>
          <w:b/>
          <w:bCs/>
          <w:i w:val="0"/>
          <w:iCs w:val="0"/>
          <w:caps w:val="0"/>
          <w:color w:val="000000"/>
          <w:spacing w:val="0"/>
          <w:kern w:val="0"/>
          <w:sz w:val="44"/>
          <w:szCs w:val="44"/>
          <w:shd w:val="clear" w:fill="FFFFFF"/>
          <w:lang w:val="en-US" w:eastAsia="zh-CN" w:bidi="ar"/>
        </w:rPr>
      </w:pPr>
      <w:r>
        <w:rPr>
          <w:rFonts w:hint="eastAsia" w:ascii="方正小标宋_GBK" w:hAnsi="方正小标宋_GBK" w:eastAsia="方正小标宋_GBK" w:cs="方正小标宋_GBK"/>
          <w:b/>
          <w:bCs/>
          <w:i w:val="0"/>
          <w:iCs w:val="0"/>
          <w:caps w:val="0"/>
          <w:color w:val="000000"/>
          <w:spacing w:val="0"/>
          <w:kern w:val="0"/>
          <w:sz w:val="44"/>
          <w:szCs w:val="44"/>
          <w:shd w:val="clear" w:fill="FFFFFF"/>
          <w:lang w:val="en-US" w:eastAsia="zh-CN" w:bidi="ar"/>
        </w:rPr>
        <w:t>部门整体支出绩效自评报告</w:t>
      </w:r>
    </w:p>
    <w:p>
      <w:pPr>
        <w:bidi w:val="0"/>
      </w:pPr>
    </w:p>
    <w:p>
      <w:pPr>
        <w:pStyle w:val="2"/>
        <w:bidi w:val="0"/>
        <w:ind w:left="0" w:leftChars="0" w:firstLine="0" w:firstLineChars="0"/>
        <w:rPr>
          <w:rFonts w:hint="eastAsia"/>
        </w:rPr>
      </w:pPr>
      <w:r>
        <w:rPr>
          <w:rFonts w:hint="eastAsia"/>
        </w:rPr>
        <w:t>一、部门（单位）概况</w:t>
      </w:r>
    </w:p>
    <w:p>
      <w:pPr>
        <w:pStyle w:val="3"/>
        <w:bidi w:val="0"/>
        <w:ind w:left="0" w:leftChars="0" w:firstLine="321" w:firstLineChars="100"/>
        <w:rPr>
          <w:rFonts w:hint="default"/>
        </w:rPr>
      </w:pPr>
      <w:r>
        <w:rPr>
          <w:rFonts w:hint="default"/>
        </w:rPr>
        <w:t>（一）机构设置情况</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楷体_GB2312" w:eastAsia="楷体_GB2312" w:cs="楷体_GB2312"/>
          <w:i w:val="0"/>
          <w:iCs w:val="0"/>
          <w:caps w:val="0"/>
          <w:color w:val="000000"/>
          <w:spacing w:val="0"/>
          <w:sz w:val="32"/>
          <w:szCs w:val="32"/>
          <w:shd w:val="clear" w:fill="FFFFFF"/>
        </w:rPr>
      </w:pPr>
      <w:r>
        <w:rPr>
          <w:rFonts w:hint="eastAsia" w:ascii="仿宋_GB2312" w:hAnsi="仿宋_GB2312" w:eastAsia="仿宋_GB2312" w:cs="仿宋_GB2312"/>
          <w:b w:val="0"/>
          <w:bCs w:val="0"/>
          <w:color w:val="auto"/>
          <w:sz w:val="32"/>
          <w:szCs w:val="32"/>
          <w:lang w:val="en-US" w:eastAsia="zh-CN"/>
        </w:rPr>
        <w:t>岳阳市云溪区接待服务中心内设机构包括：内设股室5个，分别为办公室，教务处，总务处，教研处，少队。</w:t>
      </w:r>
    </w:p>
    <w:p>
      <w:pPr>
        <w:pStyle w:val="3"/>
        <w:bidi w:val="0"/>
        <w:ind w:left="0" w:leftChars="0" w:firstLine="321" w:firstLineChars="100"/>
        <w:rPr>
          <w:rFonts w:hint="default"/>
        </w:rPr>
      </w:pPr>
      <w:r>
        <w:rPr>
          <w:rFonts w:hint="eastAsia"/>
          <w:lang w:eastAsia="zh-CN"/>
        </w:rPr>
        <w:t>（</w:t>
      </w:r>
      <w:r>
        <w:rPr>
          <w:rFonts w:hint="eastAsia"/>
          <w:lang w:val="en-US" w:eastAsia="zh-CN"/>
        </w:rPr>
        <w:t>二</w:t>
      </w:r>
      <w:r>
        <w:rPr>
          <w:rFonts w:hint="eastAsia"/>
          <w:lang w:eastAsia="zh-CN"/>
        </w:rPr>
        <w:t>）</w:t>
      </w:r>
      <w:r>
        <w:rPr>
          <w:rFonts w:hint="default"/>
        </w:rPr>
        <w:t>人员编制情况</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2023年末实有人数4人，其中：在职编制4人，临聘教职工0人，离退休0人。</w:t>
      </w:r>
    </w:p>
    <w:p>
      <w:pPr>
        <w:pStyle w:val="3"/>
        <w:bidi w:val="0"/>
        <w:ind w:left="0" w:leftChars="0" w:firstLine="321" w:firstLineChars="100"/>
        <w:rPr>
          <w:rFonts w:hint="default"/>
        </w:rPr>
      </w:pPr>
      <w:r>
        <w:rPr>
          <w:rFonts w:hint="eastAsia"/>
          <w:lang w:eastAsia="zh-CN"/>
        </w:rPr>
        <w:t>（</w:t>
      </w:r>
      <w:r>
        <w:rPr>
          <w:rFonts w:hint="eastAsia"/>
          <w:lang w:val="en-US" w:eastAsia="zh-CN"/>
        </w:rPr>
        <w:t>三</w:t>
      </w:r>
      <w:r>
        <w:rPr>
          <w:rFonts w:hint="eastAsia"/>
          <w:lang w:eastAsia="zh-CN"/>
        </w:rPr>
        <w:t>）</w:t>
      </w:r>
      <w:r>
        <w:rPr>
          <w:rFonts w:hint="default"/>
        </w:rPr>
        <w:t>主要职能职责</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1、承办区委、区人大、区政府、区政协属于接待范围的公务接待工作。</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2、承办或配合做好区委、区人大、区政府、区政协及有关部门召开或组织的重要会议、重大活动的接待服务、会务等工作。</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3、承担或配合做好云溪历史、文化和经济社会发展成果的对外宣传讲解工作。</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4、承办区委、区政府领导及党政代表团外出参观、学习、考察等重大活动的联络服务等工作。</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5、承担管理区本级党政机关国内公务接待工作，指导下级党政机关国内公务接待工作，综合协调全区公务接待工作。</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6、承办公务接待业务技能培训、竞赛、考察学习、经验交流等活动。</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7、完成区委、区政府交办的其他任务。</w:t>
      </w:r>
    </w:p>
    <w:p>
      <w:pPr>
        <w:pStyle w:val="3"/>
        <w:bidi w:val="0"/>
        <w:ind w:left="0" w:leftChars="0" w:firstLine="321" w:firstLineChars="100"/>
        <w:rPr>
          <w:rFonts w:hint="default"/>
          <w:lang w:val="en-US" w:eastAsia="zh-CN"/>
        </w:rPr>
      </w:pPr>
      <w:r>
        <w:rPr>
          <w:rFonts w:hint="eastAsia"/>
          <w:lang w:val="en-US" w:eastAsia="zh-CN"/>
        </w:rPr>
        <w:t>（四）</w:t>
      </w:r>
      <w:r>
        <w:rPr>
          <w:rFonts w:hint="default"/>
          <w:lang w:val="en-US" w:eastAsia="zh-CN"/>
        </w:rPr>
        <w:t>绩效目标设定情况</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1、做好来客接待工作，提升接待服务质量和水平；</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2、做好宣传推介工作。</w:t>
      </w:r>
    </w:p>
    <w:p>
      <w:pPr>
        <w:pStyle w:val="2"/>
        <w:bidi w:val="0"/>
        <w:ind w:left="0" w:leftChars="0" w:firstLine="0" w:firstLineChars="0"/>
        <w:rPr>
          <w:rFonts w:hint="eastAsia"/>
          <w:lang w:val="en-US" w:eastAsia="zh-CN"/>
        </w:rPr>
      </w:pPr>
      <w:r>
        <w:rPr>
          <w:rFonts w:hint="eastAsia"/>
          <w:lang w:val="en-US" w:eastAsia="zh-CN"/>
        </w:rPr>
        <w:t>二、一般公共预算支出情况</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根据《会计法》《预算法》《行政单位财务规则》等法律和财政部及省财政厅有关财务规章的规定，明确了经费审批权限及程序，经费预算管理、财务经费管理、资产购置与处置、财务监督等。针对“三公”经费探索建立公用经费标准定额体系，开展公用经费使用监督和绩效评估，进一步落实厉行节约的各项规定，确保“三公经费”使用合理合规等。上述制度规定基本执行到位。</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2023年决算支出153.63万元，其中：基本支出46.63万元，项目支出107万元。</w:t>
      </w:r>
    </w:p>
    <w:p>
      <w:pPr>
        <w:pStyle w:val="4"/>
        <w:numPr>
          <w:ilvl w:val="0"/>
          <w:numId w:val="1"/>
        </w:numPr>
        <w:bidi w:val="0"/>
        <w:rPr>
          <w:rFonts w:hint="eastAsia"/>
          <w:b/>
          <w:bCs/>
          <w:lang w:val="en-US" w:eastAsia="zh-CN"/>
        </w:rPr>
      </w:pPr>
      <w:r>
        <w:rPr>
          <w:rFonts w:hint="eastAsia"/>
          <w:b/>
          <w:bCs/>
          <w:lang w:val="en-US" w:eastAsia="zh-CN"/>
        </w:rPr>
        <w:t>基本支出情况</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lang w:val="en-US" w:eastAsia="zh-CN"/>
        </w:rPr>
      </w:pPr>
      <w:r>
        <w:rPr>
          <w:rFonts w:hint="eastAsia" w:ascii="仿宋_GB2312" w:hAnsi="仿宋_GB2312" w:eastAsia="仿宋_GB2312" w:cs="仿宋_GB2312"/>
          <w:b w:val="0"/>
          <w:bCs w:val="0"/>
          <w:color w:val="auto"/>
          <w:sz w:val="32"/>
          <w:szCs w:val="32"/>
          <w:lang w:val="en-US" w:eastAsia="zh-CN"/>
        </w:rPr>
        <w:t>基本支出用于为保障各部门、机构正常运转、完成日常工作任务而发生的支出，包括人员经费和公用经费。</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b w:val="0"/>
          <w:bCs w:val="0"/>
          <w:color w:val="auto"/>
          <w:kern w:val="2"/>
          <w:sz w:val="32"/>
          <w:szCs w:val="32"/>
          <w:lang w:val="en-US" w:eastAsia="zh-CN" w:bidi="ar-SA"/>
        </w:rPr>
      </w:pPr>
      <w:r>
        <w:rPr>
          <w:rFonts w:hint="eastAsia" w:ascii="仿宋_GB2312" w:hAnsi="仿宋_GB2312" w:eastAsia="仿宋_GB2312" w:cs="仿宋_GB2312"/>
          <w:b w:val="0"/>
          <w:bCs w:val="0"/>
          <w:color w:val="auto"/>
          <w:sz w:val="32"/>
          <w:szCs w:val="32"/>
          <w:lang w:val="en-US" w:eastAsia="zh-CN"/>
        </w:rPr>
        <w:t>2023年全年基本支出46.63万元，其中：工资福利支出37.64万元、商品和服务支出5.93万元、对个人和家庭的补助2.78万元、债务利息及费用支出0万元、资本性支出0.28万元、其他支出0万元。</w:t>
      </w:r>
    </w:p>
    <w:p>
      <w:pPr>
        <w:pStyle w:val="4"/>
        <w:numPr>
          <w:ilvl w:val="0"/>
          <w:numId w:val="1"/>
        </w:numPr>
        <w:bidi w:val="0"/>
        <w:rPr>
          <w:rFonts w:hint="eastAsia"/>
          <w:b/>
          <w:bCs/>
          <w:lang w:val="en-US" w:eastAsia="zh-CN"/>
        </w:rPr>
      </w:pPr>
      <w:r>
        <w:rPr>
          <w:rFonts w:hint="eastAsia"/>
          <w:b/>
          <w:bCs/>
          <w:lang w:val="en-US" w:eastAsia="zh-CN"/>
        </w:rPr>
        <w:t>项目支出情况</w:t>
      </w:r>
    </w:p>
    <w:p>
      <w:pPr>
        <w:keepNext w:val="0"/>
        <w:keepLines w:val="0"/>
        <w:widowControl w:val="0"/>
        <w:suppressLineNumbers w:val="0"/>
        <w:spacing w:before="0" w:beforeLines="0" w:beforeAutospacing="0" w:after="0" w:afterLines="0" w:afterAutospacing="0" w:line="600" w:lineRule="exact"/>
        <w:ind w:left="0" w:right="0" w:firstLine="640" w:firstLineChars="200"/>
        <w:jc w:val="both"/>
        <w:rPr>
          <w:rFonts w:hint="eastAsia" w:ascii="仿宋_GB2312" w:hAnsi="仿宋_GB2312" w:eastAsia="仿宋_GB2312" w:cs="仿宋_GB2312"/>
          <w:b/>
          <w:bCs/>
          <w:color w:val="auto"/>
          <w:kern w:val="2"/>
          <w:sz w:val="32"/>
          <w:szCs w:val="32"/>
          <w:lang w:val="en-US" w:eastAsia="zh-CN" w:bidi="ar-SA"/>
        </w:rPr>
      </w:pPr>
      <w:r>
        <w:rPr>
          <w:rFonts w:hint="default" w:ascii="仿宋_GB2312" w:hAnsi="Calibri" w:eastAsia="仿宋_GB2312" w:cs="仿宋_GB2312"/>
          <w:kern w:val="2"/>
          <w:sz w:val="32"/>
          <w:szCs w:val="32"/>
          <w:lang w:val="en-US" w:eastAsia="zh-CN" w:bidi="ar"/>
        </w:rPr>
        <w:t>项目支出是在基本支出之外为完成其特定的工作任务而发生的支出，主要用于专项工作的运转和设备升级等。</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kern w:val="2"/>
          <w:sz w:val="32"/>
          <w:szCs w:val="32"/>
          <w:lang w:val="en-US" w:eastAsia="zh-CN" w:bidi="ar-SA"/>
        </w:rPr>
      </w:pPr>
      <w:r>
        <w:rPr>
          <w:rFonts w:hint="eastAsia" w:ascii="仿宋_GB2312" w:hAnsi="仿宋_GB2312" w:eastAsia="仿宋_GB2312" w:cs="仿宋_GB2312"/>
          <w:b w:val="0"/>
          <w:bCs w:val="0"/>
          <w:color w:val="auto"/>
          <w:kern w:val="2"/>
          <w:sz w:val="32"/>
          <w:szCs w:val="32"/>
          <w:lang w:val="en-US" w:eastAsia="zh-CN" w:bidi="ar-SA"/>
        </w:rPr>
        <w:t>2023年项目经费支出</w:t>
      </w:r>
      <w:r>
        <w:rPr>
          <w:rFonts w:hint="eastAsia" w:ascii="仿宋_GB2312" w:hAnsi="仿宋_GB2312" w:eastAsia="仿宋_GB2312" w:cs="仿宋_GB2312"/>
          <w:b w:val="0"/>
          <w:bCs w:val="0"/>
          <w:color w:val="auto"/>
          <w:sz w:val="32"/>
          <w:szCs w:val="32"/>
          <w:lang w:val="en-US" w:eastAsia="zh-CN"/>
        </w:rPr>
        <w:t>107</w:t>
      </w:r>
      <w:r>
        <w:rPr>
          <w:rFonts w:hint="eastAsia" w:ascii="仿宋_GB2312" w:hAnsi="仿宋_GB2312" w:eastAsia="仿宋_GB2312" w:cs="仿宋_GB2312"/>
          <w:b w:val="0"/>
          <w:bCs w:val="0"/>
          <w:color w:val="auto"/>
          <w:kern w:val="2"/>
          <w:sz w:val="32"/>
          <w:szCs w:val="32"/>
          <w:lang w:val="en-US" w:eastAsia="zh-CN" w:bidi="ar-SA"/>
        </w:rPr>
        <w:t>万元，其中:工作经费支出7万元，主要用于人员工资福利支出与对个人和家庭的补助支出增加等方面；接待工作支出100万元，主要用于完成特定行政工作任务或事业发展目标而发生的支出等方面。</w:t>
      </w:r>
    </w:p>
    <w:p>
      <w:pPr>
        <w:pStyle w:val="3"/>
        <w:bidi w:val="0"/>
        <w:rPr>
          <w:rFonts w:hint="eastAsia"/>
        </w:rPr>
      </w:pPr>
      <w:r>
        <w:t>（三）</w:t>
      </w:r>
      <w:r>
        <w:rPr>
          <w:rFonts w:hint="eastAsia"/>
        </w:rPr>
        <w:t>“三公”经费的使用和管理情况</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我单位2023年严格贯彻中央八项规定精神，厉行节约。“三公”经费的使用严格按照文件范围执行，财务人员严把票据审核的关卡，确保资金的合理使用。2023年初财政批复局机关“三公”经费预算数为100.04万元，其中：公务接待费100.04万元、因公出国（境）费用0万元、公务用车购置及运行费0万元。全年决算单位支出“三公”经费为100.04万元，其中：公务接待费100.04万元、因公出国（境）费用0万元、公务用车购置及运行费0万元。</w:t>
      </w:r>
    </w:p>
    <w:p>
      <w:pPr>
        <w:pStyle w:val="2"/>
        <w:bidi w:val="0"/>
        <w:ind w:left="0" w:leftChars="0" w:firstLine="0" w:firstLineChars="0"/>
        <w:rPr>
          <w:rFonts w:hint="eastAsia"/>
        </w:rPr>
      </w:pPr>
      <w:r>
        <w:rPr>
          <w:rFonts w:hint="eastAsia"/>
        </w:rPr>
        <w:t>三、政府性基金预算支出情况</w:t>
      </w:r>
    </w:p>
    <w:p>
      <w:pPr>
        <w:pStyle w:val="17"/>
        <w:spacing w:line="600" w:lineRule="exact"/>
        <w:ind w:firstLine="643"/>
        <w:rPr>
          <w:rFonts w:hint="eastAsia" w:ascii="仿宋_GB2312" w:eastAsia="仿宋_GB2312"/>
          <w:color w:val="000000"/>
          <w:sz w:val="32"/>
          <w:szCs w:val="32"/>
          <w:lang w:val="en-US" w:eastAsia="zh-CN"/>
        </w:rPr>
      </w:pPr>
      <w:r>
        <w:rPr>
          <w:rFonts w:hint="eastAsia" w:ascii="仿宋_GB2312" w:eastAsia="仿宋_GB2312"/>
          <w:color w:val="000000"/>
          <w:sz w:val="32"/>
          <w:szCs w:val="32"/>
          <w:lang w:val="en-US" w:eastAsia="zh-CN"/>
        </w:rPr>
        <w:t>无。</w:t>
      </w:r>
    </w:p>
    <w:p>
      <w:pPr>
        <w:pStyle w:val="2"/>
        <w:bidi w:val="0"/>
        <w:ind w:left="0" w:leftChars="0" w:firstLine="0" w:firstLineChars="0"/>
        <w:rPr>
          <w:rFonts w:hint="eastAsia"/>
        </w:rPr>
      </w:pPr>
      <w:r>
        <w:rPr>
          <w:rFonts w:hint="eastAsia"/>
        </w:rPr>
        <w:t>四、国有资本经营预算支出情况</w:t>
      </w:r>
    </w:p>
    <w:p>
      <w:pPr>
        <w:pStyle w:val="17"/>
        <w:spacing w:line="600" w:lineRule="exact"/>
        <w:ind w:firstLine="643"/>
        <w:rPr>
          <w:rFonts w:hint="eastAsia" w:ascii="仿宋_GB2312" w:eastAsia="仿宋_GB2312"/>
          <w:color w:val="000000"/>
          <w:sz w:val="32"/>
          <w:szCs w:val="32"/>
          <w:lang w:val="en-US" w:eastAsia="zh-CN"/>
        </w:rPr>
      </w:pPr>
      <w:r>
        <w:rPr>
          <w:rFonts w:hint="eastAsia" w:ascii="仿宋_GB2312" w:eastAsia="仿宋_GB2312"/>
          <w:color w:val="000000"/>
          <w:sz w:val="32"/>
          <w:szCs w:val="32"/>
          <w:lang w:val="en-US" w:eastAsia="zh-CN"/>
        </w:rPr>
        <w:t>无。</w:t>
      </w:r>
    </w:p>
    <w:p>
      <w:pPr>
        <w:pStyle w:val="2"/>
        <w:bidi w:val="0"/>
        <w:ind w:left="0" w:leftChars="0" w:firstLine="0" w:firstLineChars="0"/>
        <w:rPr>
          <w:rFonts w:hint="eastAsia"/>
        </w:rPr>
      </w:pPr>
      <w:r>
        <w:rPr>
          <w:rFonts w:hint="eastAsia"/>
        </w:rPr>
        <w:t>五、社会保险基金预算支出情况</w:t>
      </w:r>
    </w:p>
    <w:p>
      <w:pPr>
        <w:pStyle w:val="17"/>
        <w:spacing w:line="600" w:lineRule="exact"/>
        <w:ind w:firstLine="643"/>
        <w:rPr>
          <w:rFonts w:hint="eastAsia" w:ascii="仿宋_GB2312" w:eastAsia="仿宋_GB2312"/>
          <w:color w:val="000000"/>
          <w:sz w:val="32"/>
          <w:szCs w:val="32"/>
          <w:lang w:val="en-US" w:eastAsia="zh-CN"/>
        </w:rPr>
      </w:pPr>
      <w:r>
        <w:rPr>
          <w:rFonts w:hint="eastAsia" w:ascii="仿宋_GB2312" w:eastAsia="仿宋_GB2312"/>
          <w:color w:val="000000"/>
          <w:sz w:val="32"/>
          <w:szCs w:val="32"/>
          <w:lang w:val="en-US" w:eastAsia="zh-CN"/>
        </w:rPr>
        <w:t>无。</w:t>
      </w:r>
    </w:p>
    <w:p>
      <w:pPr>
        <w:pStyle w:val="2"/>
        <w:bidi w:val="0"/>
        <w:ind w:left="0" w:leftChars="0" w:firstLine="0" w:firstLineChars="0"/>
        <w:rPr>
          <w:rFonts w:hint="eastAsia"/>
        </w:rPr>
      </w:pPr>
      <w:r>
        <w:rPr>
          <w:rFonts w:hint="eastAsia"/>
        </w:rPr>
        <w:t>六、部门整体支出绩效情况</w:t>
      </w:r>
    </w:p>
    <w:p>
      <w:pPr>
        <w:pStyle w:val="3"/>
        <w:bidi w:val="0"/>
        <w:ind w:left="0" w:leftChars="0" w:firstLine="0" w:firstLineChars="0"/>
        <w:rPr>
          <w:rFonts w:hint="default"/>
        </w:rPr>
      </w:pPr>
      <w:r>
        <w:rPr>
          <w:rFonts w:hint="default"/>
        </w:rPr>
        <w:t>（一）综合评价结论</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eastAsia="仿宋_GB2312" w:cs="仿宋_GB2312"/>
          <w:i w:val="0"/>
          <w:iCs w:val="0"/>
          <w:caps w:val="0"/>
          <w:color w:val="000000"/>
          <w:spacing w:val="0"/>
          <w:sz w:val="32"/>
          <w:szCs w:val="32"/>
          <w:shd w:val="clear" w:fill="FFFFFF"/>
        </w:rPr>
      </w:pPr>
      <w:r>
        <w:rPr>
          <w:rFonts w:hint="eastAsia" w:ascii="仿宋_GB2312" w:hAnsi="仿宋_GB2312" w:eastAsia="仿宋_GB2312" w:cs="仿宋_GB2312"/>
          <w:b w:val="0"/>
          <w:bCs w:val="0"/>
          <w:color w:val="auto"/>
          <w:sz w:val="32"/>
          <w:szCs w:val="32"/>
          <w:lang w:val="en-US" w:eastAsia="zh-CN"/>
        </w:rPr>
        <w:t>经自评，2023年度我单位部门整体支出绩效评价结论为“优”，自查评分为100分。</w:t>
      </w:r>
    </w:p>
    <w:p>
      <w:pPr>
        <w:pStyle w:val="3"/>
        <w:bidi w:val="0"/>
        <w:ind w:left="0" w:leftChars="0" w:firstLine="0" w:firstLineChars="0"/>
        <w:rPr>
          <w:rFonts w:hint="default"/>
        </w:rPr>
      </w:pPr>
      <w:r>
        <w:rPr>
          <w:rFonts w:hint="default"/>
        </w:rPr>
        <w:t>（二）评价指标分析</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321" w:firstLineChars="100"/>
        <w:textAlignment w:val="auto"/>
        <w:rPr>
          <w:rFonts w:hint="default"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1、社会效益指标</w:t>
      </w:r>
    </w:p>
    <w:p>
      <w:pPr>
        <w:spacing w:line="360" w:lineRule="auto"/>
        <w:ind w:firstLine="420" w:firstLineChars="0"/>
        <w:rPr>
          <w:rFonts w:hint="default" w:ascii="仿宋" w:hAnsi="仿宋" w:eastAsia="仿宋" w:cs="仿宋"/>
          <w:b/>
          <w:bCs/>
          <w:sz w:val="30"/>
          <w:szCs w:val="30"/>
          <w:lang w:val="en-US" w:eastAsia="zh-CN"/>
        </w:rPr>
      </w:pPr>
      <w:r>
        <w:rPr>
          <w:rFonts w:hint="eastAsia" w:ascii="仿宋" w:hAnsi="仿宋" w:eastAsia="仿宋"/>
          <w:b/>
          <w:bCs/>
          <w:sz w:val="28"/>
          <w:szCs w:val="28"/>
          <w:lang w:eastAsia="zh-CN"/>
        </w:rPr>
        <w:t>（</w:t>
      </w:r>
      <w:r>
        <w:rPr>
          <w:rFonts w:hint="eastAsia" w:ascii="仿宋" w:hAnsi="仿宋" w:eastAsia="仿宋"/>
          <w:b/>
          <w:bCs/>
          <w:sz w:val="28"/>
          <w:szCs w:val="28"/>
          <w:lang w:val="en-US" w:eastAsia="zh-CN"/>
        </w:rPr>
        <w:t>一</w:t>
      </w:r>
      <w:r>
        <w:rPr>
          <w:rFonts w:hint="eastAsia" w:ascii="仿宋" w:hAnsi="仿宋" w:eastAsia="仿宋"/>
          <w:b/>
          <w:bCs/>
          <w:sz w:val="28"/>
          <w:szCs w:val="28"/>
          <w:lang w:eastAsia="zh-CN"/>
        </w:rPr>
        <w:t>）</w:t>
      </w:r>
      <w:r>
        <w:rPr>
          <w:rFonts w:hint="eastAsia" w:ascii="仿宋" w:hAnsi="仿宋" w:eastAsia="仿宋"/>
          <w:b/>
          <w:bCs/>
          <w:sz w:val="28"/>
          <w:szCs w:val="28"/>
        </w:rPr>
        <w:t>提升接待服务质量和水平</w:t>
      </w:r>
    </w:p>
    <w:p>
      <w:pPr>
        <w:spacing w:line="360" w:lineRule="auto"/>
        <w:ind w:firstLine="420" w:firstLineChars="0"/>
        <w:rPr>
          <w:rFonts w:hint="eastAsia" w:ascii="仿宋" w:hAnsi="仿宋" w:eastAsia="仿宋" w:cs="仿宋"/>
          <w:sz w:val="30"/>
          <w:szCs w:val="30"/>
        </w:rPr>
      </w:pPr>
      <w:r>
        <w:rPr>
          <w:rFonts w:hint="eastAsia" w:ascii="仿宋" w:hAnsi="仿宋" w:eastAsia="仿宋" w:cs="仿宋"/>
          <w:sz w:val="30"/>
          <w:szCs w:val="30"/>
        </w:rPr>
        <w:t>强化服务意识，推动高质量发展。中心始终着力在接待工作各个环节下功夫，精心制定方案，认真组织实施，力求“全面、细致、体贴、周到”，不断提升公务接待品味，增强公务接待的辅政能力。</w:t>
      </w:r>
    </w:p>
    <w:p>
      <w:pPr>
        <w:spacing w:line="360" w:lineRule="auto"/>
        <w:ind w:firstLine="420" w:firstLineChars="0"/>
        <w:rPr>
          <w:rFonts w:hint="eastAsia" w:ascii="仿宋" w:hAnsi="仿宋" w:eastAsia="仿宋" w:cs="仿宋"/>
          <w:sz w:val="30"/>
          <w:szCs w:val="30"/>
        </w:rPr>
      </w:pPr>
      <w:r>
        <w:rPr>
          <w:rFonts w:hint="eastAsia" w:ascii="仿宋" w:hAnsi="仿宋" w:eastAsia="仿宋" w:cs="仿宋"/>
          <w:sz w:val="30"/>
          <w:szCs w:val="30"/>
        </w:rPr>
        <w:t>1.从接待制度上求突破。大力推行“三化”服务，坚决做到对待客人个性化、餐饮住宿特色化和服务保障精细化，保持超前的接待意识，准确掌握客人意图，在严格遵守接待新规要求的同时，做到“接待标准有上限，接待水平无止境”。健全接待网络体系，加强与各单位沟通协调力度，以区接待服务中心为主导，以对口接待单位为依托，以宾馆、考察点为载体，确保从最初的目标任务、方案拟定，到主要领导审定后的协调、检查、落实，形成了统一指挥、上下贯通、左右协调的接待工作运行体系，确保工作科学统筹、配置高效、协调有力。</w:t>
      </w:r>
    </w:p>
    <w:p>
      <w:pPr>
        <w:spacing w:line="360" w:lineRule="auto"/>
        <w:ind w:firstLine="420" w:firstLineChars="0"/>
        <w:rPr>
          <w:rFonts w:hint="eastAsia" w:ascii="仿宋" w:hAnsi="仿宋" w:eastAsia="仿宋" w:cs="仿宋"/>
          <w:sz w:val="30"/>
          <w:szCs w:val="30"/>
        </w:rPr>
      </w:pPr>
      <w:r>
        <w:rPr>
          <w:rFonts w:hint="eastAsia" w:ascii="仿宋" w:hAnsi="仿宋" w:eastAsia="仿宋" w:cs="仿宋"/>
          <w:sz w:val="30"/>
          <w:szCs w:val="30"/>
        </w:rPr>
        <w:t>2.从队伍建设上下功夫。注重干部队伍建设，加强接待业务培训，坚持“以结果论英雄”，不断提高干事创业的精气神，全面提升接待队伍的素质能力。突出实践实干实效，将年轻干部充实到接待一线，鼓励和激励干部职工迅速行动、投入一线，以实干担当的姿态塑造新时代接待部门的新形象。重新调整人员分工、完善绩效考核、健全议事机制，面对重大接待任务时，集体会商，共同商讨接待方案，合力解决存在问题，确保决策及时、措施合理，不断增强干部参与意识。</w:t>
      </w:r>
    </w:p>
    <w:p>
      <w:pPr>
        <w:spacing w:line="360" w:lineRule="auto"/>
        <w:ind w:firstLine="420" w:firstLineChars="0"/>
        <w:rPr>
          <w:rFonts w:hint="eastAsia" w:ascii="仿宋" w:hAnsi="仿宋" w:eastAsia="仿宋" w:cs="仿宋"/>
          <w:sz w:val="30"/>
          <w:szCs w:val="30"/>
        </w:rPr>
      </w:pPr>
      <w:r>
        <w:rPr>
          <w:rFonts w:hint="eastAsia" w:ascii="仿宋" w:hAnsi="仿宋" w:eastAsia="仿宋" w:cs="仿宋"/>
          <w:sz w:val="30"/>
          <w:szCs w:val="30"/>
          <w:lang w:val="en-US" w:eastAsia="zh-CN"/>
        </w:rPr>
        <w:t>3</w:t>
      </w:r>
      <w:r>
        <w:rPr>
          <w:rFonts w:hint="eastAsia" w:ascii="仿宋" w:hAnsi="仿宋" w:eastAsia="仿宋" w:cs="仿宋"/>
          <w:sz w:val="30"/>
          <w:szCs w:val="30"/>
        </w:rPr>
        <w:t>.从精细服务上见成效。结合客人的习惯特点，制定个性化的接待服务方案，积极提供优质的人性化服务，同时在公务服务接待中减少陪同人员及服务人员，真正做到简约而不简单，简化而不失礼仪。在日常接待工作中，中心紧扣来宾和领导意图，结合“考察主题、日程安排、区位特色、来宾喜好”等情况，科学拟订接待方案，确保周密详尽。特别是在今年在迎接国家统计局专项统计督察、省委沈晓明书记调研等重要接待活动中，制订多套有预见性和针对性的接待预案，一旦计划有所调整都能做到随机应变，快速反应，确保万无一失。每次接待结束后，中心都对接待中出现的共性的、个性的问题和现象，深入总结分析，及时查找不足，科学总结经验，以“吹毛求疵”的态度力争把各种小差错都降到零，不断提升接待工作水平，打造云溪接待品牌。</w:t>
      </w:r>
    </w:p>
    <w:p>
      <w:pPr>
        <w:spacing w:line="360" w:lineRule="auto"/>
        <w:rPr>
          <w:rFonts w:hint="eastAsia" w:ascii="仿宋" w:hAnsi="仿宋" w:eastAsia="仿宋"/>
          <w:b/>
          <w:bCs/>
          <w:sz w:val="28"/>
          <w:szCs w:val="28"/>
          <w:lang w:val="en-US" w:eastAsia="zh-CN"/>
        </w:rPr>
      </w:pPr>
      <w:r>
        <w:rPr>
          <w:rFonts w:hint="eastAsia" w:ascii="仿宋" w:hAnsi="仿宋" w:eastAsia="仿宋"/>
          <w:b/>
          <w:bCs/>
          <w:sz w:val="28"/>
          <w:szCs w:val="28"/>
          <w:lang w:val="en-US" w:eastAsia="zh-CN"/>
        </w:rPr>
        <w:t>（</w:t>
      </w:r>
      <w:r>
        <w:rPr>
          <w:rFonts w:hint="eastAsia" w:ascii="仿宋" w:hAnsi="仿宋" w:eastAsia="仿宋"/>
          <w:b/>
          <w:bCs/>
          <w:sz w:val="28"/>
          <w:szCs w:val="28"/>
          <w:lang w:val="en-US" w:eastAsia="zh-CN"/>
        </w:rPr>
        <w:t>二）、做好宣传推介工作</w:t>
      </w:r>
    </w:p>
    <w:p>
      <w:pPr>
        <w:spacing w:line="360" w:lineRule="auto"/>
        <w:ind w:firstLine="420" w:firstLineChars="0"/>
        <w:rPr>
          <w:rFonts w:hint="default" w:ascii="仿宋" w:hAnsi="仿宋" w:eastAsia="仿宋" w:cs="仿宋"/>
          <w:sz w:val="30"/>
          <w:szCs w:val="30"/>
          <w:lang w:val="en-US" w:eastAsia="zh-CN"/>
        </w:rPr>
      </w:pPr>
      <w:r>
        <w:rPr>
          <w:rFonts w:hint="eastAsia" w:ascii="仿宋" w:hAnsi="仿宋" w:eastAsia="仿宋" w:cs="仿宋"/>
          <w:sz w:val="30"/>
          <w:szCs w:val="30"/>
          <w:lang w:val="en-US" w:eastAsia="zh-CN"/>
        </w:rPr>
        <w:t>1</w:t>
      </w:r>
      <w:r>
        <w:rPr>
          <w:rFonts w:hint="eastAsia" w:ascii="仿宋" w:hAnsi="仿宋" w:eastAsia="仿宋" w:cs="仿宋"/>
          <w:sz w:val="30"/>
          <w:szCs w:val="30"/>
        </w:rPr>
        <w:t>.宣传内容上出实招。从云溪实际出发，将地方特色、工业文明及乡土文化，有机融入和应用到接待工作中，充分体现时代气息、文化内涵，使接待工作始终与时代发展同步、与领导要求同频。积极服务洞庭渔火季“秋之韵”暨2023云溪白泥湖螃蟹节，及时修改区情介绍内容，更新接待手册、席位卡等接待用品，突出“白泥湖富硒螃蟹”这个中心，把富有鲜明云溪特色的图片印制在接待用品上，从接待手册、宴会安排、会场布置等各个环节体现云溪特色，宣传云溪、推介云溪。</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321" w:firstLineChars="100"/>
        <w:textAlignment w:val="auto"/>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3、社会公众满意度</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420" w:leftChars="0" w:firstLine="420" w:firstLineChars="0"/>
        <w:textAlignment w:val="auto"/>
        <w:rPr>
          <w:rFonts w:ascii="仿宋" w:hAnsi="仿宋" w:eastAsia="仿宋" w:cs="Times New Roman"/>
          <w:sz w:val="32"/>
          <w:szCs w:val="32"/>
        </w:rPr>
      </w:pPr>
      <w:r>
        <w:rPr>
          <w:rFonts w:hint="eastAsia" w:ascii="仿宋_GB2312" w:hAnsi="仿宋_GB2312" w:eastAsia="仿宋_GB2312" w:cs="仿宋_GB2312"/>
          <w:b w:val="0"/>
          <w:bCs w:val="0"/>
          <w:color w:val="auto"/>
          <w:sz w:val="32"/>
          <w:szCs w:val="32"/>
          <w:lang w:val="en-US" w:eastAsia="zh-CN"/>
        </w:rPr>
        <w:t>各级领导和来宾</w:t>
      </w:r>
      <w:bookmarkStart w:id="0" w:name="_GoBack"/>
      <w:bookmarkEnd w:id="0"/>
      <w:r>
        <w:rPr>
          <w:rFonts w:hint="eastAsia" w:ascii="仿宋_GB2312" w:hAnsi="仿宋_GB2312" w:eastAsia="仿宋_GB2312" w:cs="仿宋_GB2312"/>
          <w:b w:val="0"/>
          <w:bCs w:val="0"/>
          <w:color w:val="auto"/>
          <w:sz w:val="32"/>
          <w:szCs w:val="32"/>
          <w:lang w:val="en-US" w:eastAsia="zh-CN"/>
        </w:rPr>
        <w:t>满意度95%以上，今后仍需不断努力</w:t>
      </w:r>
      <w:r>
        <w:rPr>
          <w:rFonts w:hint="eastAsia" w:ascii="仿宋" w:hAnsi="仿宋" w:eastAsia="仿宋" w:cs="Times New Roman"/>
          <w:sz w:val="32"/>
          <w:szCs w:val="32"/>
        </w:rPr>
        <w:t>。</w:t>
      </w:r>
    </w:p>
    <w:p>
      <w:pPr>
        <w:pStyle w:val="2"/>
        <w:bidi w:val="0"/>
        <w:ind w:left="0" w:leftChars="0" w:firstLine="321" w:firstLineChars="100"/>
        <w:rPr>
          <w:rFonts w:hint="eastAsia"/>
        </w:rPr>
      </w:pPr>
      <w:r>
        <w:rPr>
          <w:rFonts w:hint="eastAsia"/>
        </w:rPr>
        <w:t>七、存在的问题及原因分析</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2023年我单位无预算支出执行偏离绩效目标的情况。</w:t>
      </w:r>
    </w:p>
    <w:p>
      <w:pPr>
        <w:pStyle w:val="2"/>
        <w:bidi w:val="0"/>
        <w:ind w:left="0" w:leftChars="0" w:firstLine="321" w:firstLineChars="100"/>
        <w:rPr>
          <w:rFonts w:hint="eastAsia"/>
        </w:rPr>
      </w:pPr>
      <w:r>
        <w:rPr>
          <w:rFonts w:hint="eastAsia"/>
        </w:rPr>
        <w:t>八、下一步改进措施</w:t>
      </w:r>
    </w:p>
    <w:p>
      <w:pPr>
        <w:pStyle w:val="17"/>
        <w:spacing w:line="600" w:lineRule="exact"/>
        <w:ind w:firstLine="643"/>
        <w:rPr>
          <w:rFonts w:hint="eastAsia" w:ascii="仿宋_GB2312" w:eastAsia="仿宋_GB2312"/>
          <w:color w:val="000000"/>
          <w:sz w:val="32"/>
          <w:szCs w:val="32"/>
        </w:rPr>
      </w:pPr>
      <w:r>
        <w:rPr>
          <w:rFonts w:hint="eastAsia" w:ascii="仿宋_GB2312" w:eastAsia="仿宋_GB2312"/>
          <w:color w:val="000000"/>
          <w:sz w:val="32"/>
          <w:szCs w:val="32"/>
          <w:lang w:val="en-US" w:eastAsia="zh-CN"/>
        </w:rPr>
        <w:t>无。</w:t>
      </w:r>
    </w:p>
    <w:p>
      <w:pPr>
        <w:pStyle w:val="2"/>
        <w:bidi w:val="0"/>
        <w:ind w:left="0" w:leftChars="0" w:firstLine="321" w:firstLineChars="100"/>
        <w:rPr>
          <w:rFonts w:hint="eastAsia"/>
          <w:lang w:val="en-US" w:eastAsia="en-US"/>
        </w:rPr>
      </w:pPr>
      <w:r>
        <w:rPr>
          <w:rFonts w:hint="eastAsia"/>
          <w:lang w:val="en-US" w:eastAsia="en-US"/>
        </w:rPr>
        <w:t>九、其他需要说明的情况</w:t>
      </w:r>
    </w:p>
    <w:p>
      <w:pPr>
        <w:pStyle w:val="17"/>
        <w:spacing w:line="600" w:lineRule="exact"/>
        <w:ind w:firstLine="643"/>
        <w:rPr>
          <w:rFonts w:hint="eastAsia" w:ascii="仿宋_GB2312" w:eastAsia="仿宋_GB2312"/>
          <w:color w:val="000000"/>
          <w:sz w:val="32"/>
          <w:szCs w:val="32"/>
          <w:lang w:val="en-US" w:eastAsia="zh-CN"/>
        </w:rPr>
      </w:pPr>
      <w:r>
        <w:rPr>
          <w:rFonts w:hint="eastAsia" w:ascii="仿宋_GB2312" w:eastAsia="仿宋_GB2312"/>
          <w:color w:val="000000"/>
          <w:sz w:val="32"/>
          <w:szCs w:val="32"/>
          <w:lang w:val="en-US" w:eastAsia="zh-CN"/>
        </w:rPr>
        <w:t>无。</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方正小标宋简体">
    <w:altName w:val="黑体"/>
    <w:panose1 w:val="03000509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altName w:val="微软雅黑"/>
    <w:panose1 w:val="03000509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margin" w:xAlign="outside" w:y="1"/>
      <w:rPr>
        <w:rStyle w:val="12"/>
        <w:sz w:val="24"/>
        <w:szCs w:val="24"/>
      </w:rPr>
    </w:pPr>
    <w:r>
      <w:rPr>
        <w:rStyle w:val="12"/>
        <w:rFonts w:hint="eastAsia"/>
        <w:sz w:val="24"/>
        <w:szCs w:val="24"/>
      </w:rPr>
      <w:t xml:space="preserve">— </w:t>
    </w:r>
    <w:r>
      <w:rPr>
        <w:sz w:val="24"/>
        <w:szCs w:val="24"/>
      </w:rPr>
      <w:fldChar w:fldCharType="begin"/>
    </w:r>
    <w:r>
      <w:rPr>
        <w:rStyle w:val="12"/>
        <w:sz w:val="24"/>
        <w:szCs w:val="24"/>
      </w:rPr>
      <w:instrText xml:space="preserve">PAGE  </w:instrText>
    </w:r>
    <w:r>
      <w:rPr>
        <w:sz w:val="24"/>
        <w:szCs w:val="24"/>
      </w:rPr>
      <w:fldChar w:fldCharType="separate"/>
    </w:r>
    <w:r>
      <w:rPr>
        <w:rStyle w:val="12"/>
        <w:sz w:val="24"/>
        <w:szCs w:val="24"/>
      </w:rPr>
      <w:t>2</w:t>
    </w:r>
    <w:r>
      <w:rPr>
        <w:sz w:val="24"/>
        <w:szCs w:val="24"/>
      </w:rPr>
      <w:fldChar w:fldCharType="end"/>
    </w:r>
    <w:r>
      <w:rPr>
        <w:rStyle w:val="12"/>
        <w:rFonts w:hint="eastAsia"/>
        <w:sz w:val="24"/>
        <w:szCs w:val="24"/>
      </w:rPr>
      <w:t xml:space="preserve"> —</w:t>
    </w:r>
  </w:p>
  <w:p>
    <w:pP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framePr w:wrap="around" w:vAnchor="text" w:hAnchor="margin" w:xAlign="outside" w:y="1"/>
    </w:pPr>
    <w:r>
      <w:fldChar w:fldCharType="begin"/>
    </w:r>
    <w:r>
      <w:instrText xml:space="preserve">PAGE  </w:instrText>
    </w:r>
    <w:r>
      <w:fldChar w:fldCharType="separate"/>
    </w:r>
    <w:r>
      <w:t>- 15 -</w:t>
    </w:r>
    <w:r>
      <w:fldChar w:fldCharType="end"/>
    </w:r>
  </w:p>
  <w:p>
    <w:pPr>
      <w:ind w:right="360" w:firstLine="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7498EA"/>
    <w:multiLevelType w:val="singleLevel"/>
    <w:tmpl w:val="387498EA"/>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YzNjBkOTgyNWQ1YTMxYzM3MzMwNWFiODNmOWIzYWMifQ=="/>
  </w:docVars>
  <w:rsids>
    <w:rsidRoot w:val="00172A27"/>
    <w:rsid w:val="02A9251A"/>
    <w:rsid w:val="02B9263D"/>
    <w:rsid w:val="032B47A9"/>
    <w:rsid w:val="03AA1A5C"/>
    <w:rsid w:val="03DC1511"/>
    <w:rsid w:val="05375E6B"/>
    <w:rsid w:val="05CA0255"/>
    <w:rsid w:val="072B7061"/>
    <w:rsid w:val="07765EFA"/>
    <w:rsid w:val="08F77045"/>
    <w:rsid w:val="09F45FD8"/>
    <w:rsid w:val="0AF449E6"/>
    <w:rsid w:val="0BB42719"/>
    <w:rsid w:val="0C791C75"/>
    <w:rsid w:val="10E53545"/>
    <w:rsid w:val="11DD21FB"/>
    <w:rsid w:val="12524FF3"/>
    <w:rsid w:val="15155F83"/>
    <w:rsid w:val="151E0010"/>
    <w:rsid w:val="152C2AC9"/>
    <w:rsid w:val="16706D63"/>
    <w:rsid w:val="1711679D"/>
    <w:rsid w:val="186A0D56"/>
    <w:rsid w:val="19544915"/>
    <w:rsid w:val="19670BC4"/>
    <w:rsid w:val="1B1704A0"/>
    <w:rsid w:val="1C320A84"/>
    <w:rsid w:val="1D470521"/>
    <w:rsid w:val="1D4D5CD3"/>
    <w:rsid w:val="1DE927A9"/>
    <w:rsid w:val="1ECE3F0E"/>
    <w:rsid w:val="1F713AC0"/>
    <w:rsid w:val="1FD1383D"/>
    <w:rsid w:val="20756E2D"/>
    <w:rsid w:val="23EF3B49"/>
    <w:rsid w:val="26534D14"/>
    <w:rsid w:val="279D7857"/>
    <w:rsid w:val="27B64475"/>
    <w:rsid w:val="27D863C0"/>
    <w:rsid w:val="28635EA4"/>
    <w:rsid w:val="2AB54840"/>
    <w:rsid w:val="2AE61515"/>
    <w:rsid w:val="2C09639A"/>
    <w:rsid w:val="2D701BA0"/>
    <w:rsid w:val="2D7E77E3"/>
    <w:rsid w:val="2DD67B47"/>
    <w:rsid w:val="31D12A10"/>
    <w:rsid w:val="320B6A4B"/>
    <w:rsid w:val="37013EFD"/>
    <w:rsid w:val="38D17A67"/>
    <w:rsid w:val="39667F7B"/>
    <w:rsid w:val="3D0C4AEA"/>
    <w:rsid w:val="3D684A0B"/>
    <w:rsid w:val="3DE6565C"/>
    <w:rsid w:val="3DFF5B32"/>
    <w:rsid w:val="41203882"/>
    <w:rsid w:val="41265F61"/>
    <w:rsid w:val="42075CA8"/>
    <w:rsid w:val="42400253"/>
    <w:rsid w:val="447A08AC"/>
    <w:rsid w:val="456D6663"/>
    <w:rsid w:val="45795F75"/>
    <w:rsid w:val="46523F83"/>
    <w:rsid w:val="465F578E"/>
    <w:rsid w:val="46C3769C"/>
    <w:rsid w:val="48FA4E76"/>
    <w:rsid w:val="498E170A"/>
    <w:rsid w:val="4E6F3E2F"/>
    <w:rsid w:val="4E8B1F67"/>
    <w:rsid w:val="4FE20849"/>
    <w:rsid w:val="510D0FC2"/>
    <w:rsid w:val="55BA31FE"/>
    <w:rsid w:val="56167528"/>
    <w:rsid w:val="56F40992"/>
    <w:rsid w:val="57A15887"/>
    <w:rsid w:val="596423C7"/>
    <w:rsid w:val="5B5B0FE0"/>
    <w:rsid w:val="5C7E4EBD"/>
    <w:rsid w:val="5CC772D2"/>
    <w:rsid w:val="5F663B83"/>
    <w:rsid w:val="5F8D53A3"/>
    <w:rsid w:val="62326812"/>
    <w:rsid w:val="624A5785"/>
    <w:rsid w:val="624F2C18"/>
    <w:rsid w:val="63660064"/>
    <w:rsid w:val="63E53BC8"/>
    <w:rsid w:val="64673F7C"/>
    <w:rsid w:val="65D00FC6"/>
    <w:rsid w:val="66586A7F"/>
    <w:rsid w:val="66EF11C6"/>
    <w:rsid w:val="69C12CD2"/>
    <w:rsid w:val="6A573944"/>
    <w:rsid w:val="6B38404F"/>
    <w:rsid w:val="6B8A28E3"/>
    <w:rsid w:val="6C336C88"/>
    <w:rsid w:val="6DFE083F"/>
    <w:rsid w:val="6E2D7665"/>
    <w:rsid w:val="71436346"/>
    <w:rsid w:val="71561767"/>
    <w:rsid w:val="72A82F68"/>
    <w:rsid w:val="72B11A15"/>
    <w:rsid w:val="73C70602"/>
    <w:rsid w:val="76C92F4B"/>
    <w:rsid w:val="76E64558"/>
    <w:rsid w:val="785771FF"/>
    <w:rsid w:val="78A50E3F"/>
    <w:rsid w:val="7A463F19"/>
    <w:rsid w:val="7AAC2882"/>
    <w:rsid w:val="7C582B10"/>
    <w:rsid w:val="7DAD0FE3"/>
    <w:rsid w:val="7DED5DF2"/>
    <w:rsid w:val="7E9E345A"/>
    <w:rsid w:val="7EDC5EE9"/>
    <w:rsid w:val="7F0B3B28"/>
    <w:rsid w:val="7FBF6B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autoRedefine/>
    <w:qFormat/>
    <w:uiPriority w:val="0"/>
    <w:pPr>
      <w:keepNext/>
      <w:keepLines/>
      <w:spacing w:beforeLines="0" w:beforeAutospacing="0" w:afterLines="0" w:afterAutospacing="0" w:line="560" w:lineRule="exact"/>
      <w:ind w:firstLine="640" w:firstLineChars="200"/>
      <w:outlineLvl w:val="0"/>
    </w:pPr>
    <w:rPr>
      <w:rFonts w:eastAsia="黑体" w:asciiTheme="minorAscii" w:hAnsiTheme="minorAscii"/>
      <w:b/>
      <w:kern w:val="44"/>
      <w:sz w:val="32"/>
    </w:rPr>
  </w:style>
  <w:style w:type="paragraph" w:styleId="3">
    <w:name w:val="heading 2"/>
    <w:basedOn w:val="1"/>
    <w:next w:val="1"/>
    <w:autoRedefine/>
    <w:unhideWhenUsed/>
    <w:qFormat/>
    <w:uiPriority w:val="0"/>
    <w:pPr>
      <w:keepNext/>
      <w:keepLines/>
      <w:spacing w:line="560" w:lineRule="exact"/>
      <w:ind w:firstLine="200" w:firstLineChars="200"/>
      <w:outlineLvl w:val="1"/>
    </w:pPr>
    <w:rPr>
      <w:rFonts w:eastAsia="楷体_GB2312" w:asciiTheme="majorAscii" w:hAnsiTheme="majorAscii" w:cstheme="majorBidi"/>
      <w:b/>
      <w:bCs/>
      <w:sz w:val="32"/>
      <w:szCs w:val="32"/>
    </w:rPr>
  </w:style>
  <w:style w:type="paragraph" w:styleId="4">
    <w:name w:val="heading 3"/>
    <w:basedOn w:val="1"/>
    <w:next w:val="1"/>
    <w:autoRedefine/>
    <w:unhideWhenUsed/>
    <w:qFormat/>
    <w:uiPriority w:val="0"/>
    <w:pPr>
      <w:keepNext/>
      <w:keepLines/>
      <w:spacing w:beforeLines="0" w:beforeAutospacing="0" w:afterLines="0" w:afterAutospacing="0" w:line="560" w:lineRule="exact"/>
      <w:ind w:firstLine="640" w:firstLineChars="200"/>
      <w:outlineLvl w:val="2"/>
    </w:pPr>
    <w:rPr>
      <w:rFonts w:eastAsia="仿宋_GB2312" w:asciiTheme="minorAscii" w:hAnsiTheme="minorAscii"/>
      <w:sz w:val="32"/>
    </w:rPr>
  </w:style>
  <w:style w:type="character" w:default="1" w:styleId="10">
    <w:name w:val="Default Paragraph Font"/>
    <w:autoRedefine/>
    <w:semiHidden/>
    <w:qFormat/>
    <w:uiPriority w:val="0"/>
  </w:style>
  <w:style w:type="table" w:default="1" w:styleId="9">
    <w:name w:val="Normal Table"/>
    <w:autoRedefine/>
    <w:semiHidden/>
    <w:qFormat/>
    <w:uiPriority w:val="0"/>
    <w:tblPr>
      <w:tblCellMar>
        <w:top w:w="0" w:type="dxa"/>
        <w:left w:w="108" w:type="dxa"/>
        <w:bottom w:w="0" w:type="dxa"/>
        <w:right w:w="108" w:type="dxa"/>
      </w:tblCellMar>
    </w:tblPr>
  </w:style>
  <w:style w:type="paragraph" w:styleId="5">
    <w:name w:val="Body Text"/>
    <w:basedOn w:val="1"/>
    <w:next w:val="6"/>
    <w:unhideWhenUsed/>
    <w:qFormat/>
    <w:uiPriority w:val="99"/>
    <w:pPr>
      <w:spacing w:after="120"/>
    </w:pPr>
  </w:style>
  <w:style w:type="paragraph" w:styleId="6">
    <w:name w:val="toc 5"/>
    <w:basedOn w:val="1"/>
    <w:next w:val="1"/>
    <w:qFormat/>
    <w:uiPriority w:val="0"/>
    <w:pPr>
      <w:ind w:left="1680" w:leftChars="800"/>
    </w:pPr>
  </w:style>
  <w:style w:type="paragraph" w:styleId="7">
    <w:name w:val="footer"/>
    <w:basedOn w:val="1"/>
    <w:autoRedefine/>
    <w:qFormat/>
    <w:uiPriority w:val="0"/>
    <w:pPr>
      <w:tabs>
        <w:tab w:val="center" w:pos="4153"/>
        <w:tab w:val="right" w:pos="8306"/>
      </w:tabs>
      <w:snapToGrid w:val="0"/>
      <w:jc w:val="left"/>
    </w:pPr>
    <w:rPr>
      <w:kern w:val="0"/>
      <w:sz w:val="18"/>
      <w:szCs w:val="18"/>
    </w:rPr>
  </w:style>
  <w:style w:type="paragraph" w:styleId="8">
    <w:name w:val="Normal (Web)"/>
    <w:basedOn w:val="1"/>
    <w:autoRedefine/>
    <w:qFormat/>
    <w:uiPriority w:val="0"/>
    <w:pPr>
      <w:spacing w:before="0" w:beforeAutospacing="1" w:after="0" w:afterAutospacing="1"/>
      <w:ind w:left="0" w:right="0"/>
      <w:jc w:val="left"/>
    </w:pPr>
    <w:rPr>
      <w:kern w:val="0"/>
      <w:sz w:val="24"/>
      <w:lang w:val="en-US" w:eastAsia="zh-CN" w:bidi="ar"/>
    </w:rPr>
  </w:style>
  <w:style w:type="character" w:styleId="11">
    <w:name w:val="Strong"/>
    <w:basedOn w:val="10"/>
    <w:qFormat/>
    <w:uiPriority w:val="0"/>
    <w:rPr>
      <w:b/>
      <w:bCs/>
    </w:rPr>
  </w:style>
  <w:style w:type="character" w:styleId="12">
    <w:name w:val="page number"/>
    <w:autoRedefine/>
    <w:qFormat/>
    <w:uiPriority w:val="0"/>
  </w:style>
  <w:style w:type="paragraph" w:customStyle="1" w:styleId="13">
    <w:name w:val="BodyText1I2"/>
    <w:basedOn w:val="14"/>
    <w:autoRedefine/>
    <w:qFormat/>
    <w:uiPriority w:val="0"/>
    <w:pPr>
      <w:spacing w:before="100" w:beforeAutospacing="1" w:after="0"/>
      <w:ind w:left="0" w:firstLine="420" w:firstLineChars="200"/>
    </w:pPr>
    <w:rPr>
      <w:rFonts w:ascii="Calibri" w:hAnsi="Calibri"/>
    </w:rPr>
  </w:style>
  <w:style w:type="paragraph" w:customStyle="1" w:styleId="14">
    <w:name w:val="BodyTextIndent"/>
    <w:basedOn w:val="1"/>
    <w:autoRedefine/>
    <w:qFormat/>
    <w:uiPriority w:val="0"/>
    <w:pPr>
      <w:spacing w:after="120"/>
      <w:ind w:left="420" w:leftChars="200"/>
    </w:pPr>
  </w:style>
  <w:style w:type="paragraph" w:customStyle="1" w:styleId="15">
    <w:name w:val="BodyText1I"/>
    <w:basedOn w:val="1"/>
    <w:autoRedefine/>
    <w:qFormat/>
    <w:uiPriority w:val="99"/>
    <w:pPr>
      <w:snapToGrid w:val="0"/>
      <w:spacing w:line="360" w:lineRule="auto"/>
      <w:ind w:firstLine="420" w:firstLineChars="100"/>
    </w:pPr>
    <w:rPr>
      <w:sz w:val="28"/>
      <w:szCs w:val="20"/>
    </w:rPr>
  </w:style>
  <w:style w:type="paragraph" w:customStyle="1" w:styleId="16">
    <w:name w:val="标题1"/>
    <w:basedOn w:val="3"/>
    <w:autoRedefine/>
    <w:qFormat/>
    <w:uiPriority w:val="0"/>
    <w:rPr>
      <w:rFonts w:eastAsia="黑体"/>
    </w:rPr>
  </w:style>
  <w:style w:type="paragraph" w:customStyle="1" w:styleId="17">
    <w:name w:val="List Paragraph_a0f507d5-6e28-4914-b37f-020b7d2b0f7c"/>
    <w:basedOn w:val="1"/>
    <w:autoRedefine/>
    <w:qFormat/>
    <w:uiPriority w:val="0"/>
    <w:pPr>
      <w:ind w:firstLine="420" w:firstLineChars="200"/>
    </w:pPr>
  </w:style>
  <w:style w:type="paragraph" w:styleId="18">
    <w:name w:val="No Spacing"/>
    <w:autoRedefine/>
    <w:qFormat/>
    <w:uiPriority w:val="1"/>
    <w:pPr>
      <w:adjustRightInd w:val="0"/>
      <w:snapToGrid w:val="0"/>
      <w:spacing w:after="0" w:line="240" w:lineRule="auto"/>
    </w:pPr>
    <w:rPr>
      <w:rFonts w:ascii="Tahoma" w:hAnsi="Tahoma" w:eastAsia="微软雅黑" w:cs="Times New Roman"/>
      <w:sz w:val="22"/>
      <w:szCs w:val="22"/>
      <w:lang w:val="en-US" w:eastAsia="zh-CN" w:bidi="ar-SA"/>
    </w:rPr>
  </w:style>
  <w:style w:type="paragraph" w:customStyle="1" w:styleId="19">
    <w:name w:val="msolistparagraph"/>
    <w:basedOn w:val="1"/>
    <w:qFormat/>
    <w:uiPriority w:val="0"/>
    <w:pPr>
      <w:spacing w:line="365" w:lineRule="atLeast"/>
      <w:ind w:firstLine="420" w:firstLineChars="200"/>
      <w:textAlignment w:val="bottom"/>
    </w:pPr>
    <w:rPr>
      <w:rFonts w:ascii="Calibri" w:hAnsi="Calibri" w:eastAsia="宋体" w:cs="Times New Roma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3180</Words>
  <Characters>3461</Characters>
  <Lines>1</Lines>
  <Paragraphs>1</Paragraphs>
  <TotalTime>3</TotalTime>
  <ScaleCrop>false</ScaleCrop>
  <LinksUpToDate>false</LinksUpToDate>
  <CharactersWithSpaces>3895</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2024-05-20T07:10:00Z</dcterms:created>
  <dc:creator>HNBS-WORKER3</dc:creator>
  <cp:lastModifiedBy>XIE</cp:lastModifiedBy>
  <dcterms:modified xsi:type="dcterms:W3CDTF">2024-06-24T20:02:33Z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2EACD47548BD4DE7A4D66C6CD41716BF_13</vt:lpwstr>
  </property>
</Properties>
</file>