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1585" w:firstLineChars="5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2023年云溪区公路建设和养护中心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2536" w:firstLineChars="8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财政绩效自评报告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34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34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我中心</w:t>
      </w: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区政府直属</w:t>
      </w:r>
      <w:r>
        <w:rPr>
          <w:rFonts w:hint="eastAsia" w:ascii="仿宋" w:hAnsi="仿宋" w:eastAsia="仿宋" w:cs="仿宋"/>
          <w:sz w:val="32"/>
          <w:szCs w:val="32"/>
        </w:rPr>
        <w:t>正科级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公益一类全额拨款</w:t>
      </w:r>
      <w:r>
        <w:rPr>
          <w:rFonts w:hint="eastAsia" w:ascii="仿宋" w:hAnsi="仿宋" w:eastAsia="仿宋" w:cs="仿宋"/>
          <w:sz w:val="32"/>
          <w:szCs w:val="32"/>
        </w:rPr>
        <w:t>事业单位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，主要职责是</w:t>
      </w:r>
      <w:r>
        <w:rPr>
          <w:rFonts w:hint="eastAsia" w:ascii="仿宋" w:hAnsi="仿宋" w:eastAsia="仿宋" w:cs="仿宋"/>
          <w:sz w:val="32"/>
          <w:szCs w:val="32"/>
        </w:rPr>
        <w:t>对辖区内国省干线及农村公路进行建设和养护；负责辖区内国省干线及农村公路的养护、改造升级，确保公路的完好、平整、畅通，提高公路的耐用性和抗灾能力；负责辖区内国省干线及农村公路的安全生产监督管理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心共有干部职工88人，其中退休人员38人，在职人员50人。内设8个机构，办公室、人事股、财务审计股、养护股、工程建设股、计划统计股、安全机务股、路产路权股。下设两个二级机构，道仁矶公路所和云溪区农村公路养护中心（财政独立预算）。</w:t>
      </w:r>
    </w:p>
    <w:p>
      <w:pPr>
        <w:numPr>
          <w:ilvl w:val="0"/>
          <w:numId w:val="1"/>
        </w:num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一般公共预算支出情况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（一）基本支出情况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1.人员支出715.5525万元，其中工资、奖金及福利支出572.1777万元,五险一金 133.5065万元,伙食补助费9.8683万元;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日常公用支出142.7082万元，其中办公费8.722万元，印刷费1.0188万元，水费1.2655万元，电费4.909万元，邮电费1.0151万元，差旅费3.0412万元，维修（护）费9.7552万元，培训费3.6813万元，工会经费15.0381万元，劳务费22.6929万元，扶贫经费13.3345万元，其他交通费0.78万元，党建活动费2.004万元，安全经费2.748万元，设备购置及设施建设费（市级文明单位创建）37.621万元，其他费15.0816万元。</w:t>
      </w:r>
    </w:p>
    <w:p>
      <w:pPr>
        <w:pStyle w:val="6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3、对个人及家庭的补助支出73.1417万元，其中退休人员绩效奖金60.3733万元，独生子女奖励金5.628万元，退休人员福利费开支7.1404万元。</w:t>
      </w:r>
    </w:p>
    <w:p>
      <w:pPr>
        <w:numPr>
          <w:ilvl w:val="0"/>
          <w:numId w:val="2"/>
        </w:numPr>
        <w:ind w:left="580" w:leftChars="0" w:firstLine="0" w:firstLineChars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项目支出情况</w:t>
      </w:r>
    </w:p>
    <w:p>
      <w:pPr>
        <w:pStyle w:val="6"/>
        <w:ind w:left="0" w:leftChars="0" w:firstLine="634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2023年度财政预算项目资金为179万元，其中X022线与洗马南路接线工程70万元，农村公路重大安全隐患整治工程109万元，实际使用项目资金为166万元 ，其中X022线与洗马南路接线工程57万元，农村公路重大安全隐患整治工程109万元。</w:t>
      </w:r>
    </w:p>
    <w:p>
      <w:pPr>
        <w:keepNext w:val="0"/>
        <w:keepLines w:val="0"/>
        <w:widowControl/>
        <w:suppressLineNumbers w:val="0"/>
        <w:ind w:firstLine="634" w:firstLineChars="2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1、X022线与洗马南路接线工程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位于云溪城区南部，本项工程起于（K0+000）云溪区洗马南路(随岳连接线)，终点位于 X022，桩号 K0+99.645，全长 99.645m。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主要建设内容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包括路基路面工程及沿线安全设施工。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项目</w:t>
      </w:r>
      <w:r>
        <w:rPr>
          <w:rFonts w:hint="eastAsia" w:ascii="仿宋" w:hAnsi="仿宋" w:eastAsia="仿宋" w:cs="仿宋"/>
          <w:sz w:val="30"/>
          <w:szCs w:val="30"/>
        </w:rPr>
        <w:t>于202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年1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24</w:t>
      </w:r>
      <w:r>
        <w:rPr>
          <w:rFonts w:hint="eastAsia" w:ascii="仿宋" w:hAnsi="仿宋" w:eastAsia="仿宋" w:cs="仿宋"/>
          <w:sz w:val="30"/>
          <w:szCs w:val="30"/>
        </w:rPr>
        <w:t>日进行的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财政预算评审，金额为58.69万元。2022年11月5日进行</w:t>
      </w:r>
      <w:r>
        <w:rPr>
          <w:rFonts w:hint="eastAsia" w:ascii="仿宋" w:hAnsi="仿宋" w:eastAsia="仿宋" w:cs="仿宋"/>
          <w:sz w:val="30"/>
          <w:szCs w:val="30"/>
        </w:rPr>
        <w:t>政府采购，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按照“三重一大”工作原则和程序，经党组研究该项目在60万限额以下由具有该资质的岳阳市云溪区第一建筑公司进行建设。</w:t>
      </w:r>
      <w:r>
        <w:rPr>
          <w:rFonts w:hint="eastAsia" w:ascii="仿宋" w:hAnsi="仿宋" w:eastAsia="仿宋" w:cs="仿宋"/>
          <w:sz w:val="30"/>
          <w:szCs w:val="30"/>
        </w:rPr>
        <w:t>监理单位：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平江县国盛建设工程监理咨询</w:t>
      </w:r>
      <w:r>
        <w:rPr>
          <w:rFonts w:hint="eastAsia" w:ascii="仿宋" w:hAnsi="仿宋" w:eastAsia="仿宋" w:cs="仿宋"/>
          <w:sz w:val="30"/>
          <w:szCs w:val="30"/>
        </w:rPr>
        <w:t>有限公司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检测单位：岳阳市公路科技服务中心。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94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该项目资金57万元</w:t>
      </w:r>
      <w:r>
        <w:rPr>
          <w:rFonts w:hint="eastAsia" w:ascii="仿宋" w:hAnsi="仿宋" w:eastAsia="仿宋" w:cs="仿宋"/>
          <w:sz w:val="30"/>
          <w:szCs w:val="30"/>
        </w:rPr>
        <w:t>由区财政部门根据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年度</w:t>
      </w:r>
      <w:r>
        <w:rPr>
          <w:rFonts w:hint="eastAsia" w:ascii="仿宋" w:hAnsi="仿宋" w:eastAsia="仿宋" w:cs="仿宋"/>
          <w:sz w:val="30"/>
          <w:szCs w:val="30"/>
        </w:rPr>
        <w:t>计划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于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2023年1月和10月</w:t>
      </w:r>
      <w:r>
        <w:rPr>
          <w:rFonts w:hint="eastAsia" w:ascii="仿宋" w:hAnsi="仿宋" w:eastAsia="仿宋" w:cs="仿宋"/>
          <w:sz w:val="30"/>
          <w:szCs w:val="30"/>
        </w:rPr>
        <w:t>拨入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我中心财政账户</w:t>
      </w:r>
      <w:r>
        <w:rPr>
          <w:rFonts w:hint="eastAsia" w:ascii="仿宋" w:hAnsi="仿宋" w:eastAsia="仿宋" w:cs="仿宋"/>
          <w:sz w:val="30"/>
          <w:szCs w:val="30"/>
        </w:rPr>
        <w:t>，我中心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根据《区政府性投资项目管理办法》[岳云政发（2022）2号]执行资金管理，已于2023年12月31日前完成该项目所有支付工作，</w:t>
      </w:r>
      <w:r>
        <w:rPr>
          <w:rFonts w:hint="eastAsia" w:ascii="仿宋" w:hAnsi="仿宋" w:eastAsia="仿宋" w:cs="仿宋"/>
          <w:sz w:val="30"/>
          <w:szCs w:val="30"/>
        </w:rPr>
        <w:t>坚持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做到了</w:t>
      </w:r>
      <w:r>
        <w:rPr>
          <w:rFonts w:hint="eastAsia" w:ascii="仿宋" w:hAnsi="仿宋" w:eastAsia="仿宋" w:cs="仿宋"/>
          <w:sz w:val="30"/>
          <w:szCs w:val="30"/>
        </w:rPr>
        <w:t>专款专用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专账管理，</w:t>
      </w:r>
      <w:r>
        <w:rPr>
          <w:rFonts w:hint="eastAsia" w:ascii="仿宋" w:hAnsi="仿宋" w:eastAsia="仿宋" w:cs="仿宋"/>
          <w:sz w:val="30"/>
          <w:szCs w:val="30"/>
        </w:rPr>
        <w:t>做到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了</w:t>
      </w:r>
      <w:r>
        <w:rPr>
          <w:rFonts w:hint="eastAsia" w:ascii="仿宋" w:hAnsi="仿宋" w:eastAsia="仿宋" w:cs="仿宋"/>
          <w:sz w:val="30"/>
          <w:szCs w:val="30"/>
        </w:rPr>
        <w:t>公开公平公正，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并</w:t>
      </w:r>
      <w:r>
        <w:rPr>
          <w:rFonts w:hint="eastAsia" w:ascii="仿宋" w:hAnsi="仿宋" w:eastAsia="仿宋" w:cs="仿宋"/>
          <w:sz w:val="30"/>
          <w:szCs w:val="30"/>
        </w:rPr>
        <w:t>严格执行内部监督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机制</w:t>
      </w:r>
      <w:r>
        <w:rPr>
          <w:rFonts w:hint="eastAsia" w:ascii="仿宋" w:hAnsi="仿宋" w:eastAsia="仿宋" w:cs="仿宋"/>
          <w:sz w:val="30"/>
          <w:szCs w:val="30"/>
        </w:rPr>
        <w:t>，按时、按质、按量完成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了</w:t>
      </w:r>
      <w:r>
        <w:rPr>
          <w:rFonts w:hint="eastAsia" w:ascii="仿宋" w:hAnsi="仿宋" w:eastAsia="仿宋" w:cs="仿宋"/>
          <w:sz w:val="30"/>
          <w:szCs w:val="30"/>
        </w:rPr>
        <w:t>项目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建设</w:t>
      </w:r>
      <w:r>
        <w:rPr>
          <w:rFonts w:hint="eastAsia" w:ascii="仿宋" w:hAnsi="仿宋" w:eastAsia="仿宋" w:cs="仿宋"/>
          <w:sz w:val="30"/>
          <w:szCs w:val="30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保证</w:t>
      </w:r>
      <w:r>
        <w:rPr>
          <w:rFonts w:hint="eastAsia" w:ascii="仿宋" w:hAnsi="仿宋" w:eastAsia="仿宋" w:cs="仿宋"/>
          <w:sz w:val="30"/>
          <w:szCs w:val="30"/>
        </w:rPr>
        <w:t>无挤占挪用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无违法违规行为。接受财政、审计和上级主管部门的监督检查。通过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接线工程</w:t>
      </w:r>
      <w:r>
        <w:rPr>
          <w:rFonts w:hint="eastAsia" w:ascii="仿宋" w:hAnsi="仿宋" w:eastAsia="仿宋" w:cs="仿宋"/>
          <w:sz w:val="30"/>
          <w:szCs w:val="30"/>
        </w:rPr>
        <w:t>，有效消除道路交通隐患，提高区域公路的通行能力，服务区域经济社会发展。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94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农村公路重大安全隐患整治工程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94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该项目由我中心申报2023年年初预算，具体实施为我中心二级机构农村公路养护中心，项目资金支付由区财政直接拨付农村公路养护中心，故在此报告中未做评价(项目详情见农村公路养护中心绩效评价中）。</w:t>
      </w:r>
    </w:p>
    <w:p>
      <w:pPr>
        <w:pStyle w:val="6"/>
        <w:ind w:left="0" w:leftChars="0" w:firstLine="634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2023年我中心除上述二个有预算资金安排项目外还有其他工程项目16个，共计支出1935.866万元，分别为新港区道路养护工程，已列支出524.2781万元；国省道专项养护工程，已列支出164.3204万元；国省道小修保养，已列支出47.9846万元；己内酰胺交通信号标志工程，已列支出48.8万元；G107K1552-1558安全隐患工程，已列支出4.9743万元；云溪区城乡公交一体化工程，已列支出192.5925万元；农村公路及桥梁改建工程中，已列支出17.63万元；S208、209国省道安全精细化提升工程，已列支出18.4万元；资源产业路改建工程，已列支出1.0916万元；机关保障房工程，已列支出33.43万元，另有6个项目属以前年度延续项目，分别是临湖公路（云溪段）环境整治工程，本年列支出455.9753万元；云中北路提质改造工程，已列支出2.4万元；S208线大修工程，已列支出56.484万元；国省干线公路安全隐患整治工程，列支出13.47万元；洗马南路提质改造工程337.6万元；金桥路提质改造工程，列支出16.4352万元。</w:t>
      </w:r>
    </w:p>
    <w:p>
      <w:pPr>
        <w:numPr>
          <w:ilvl w:val="0"/>
          <w:numId w:val="0"/>
        </w:numPr>
        <w:ind w:left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(三）国有资本经营预算拨款支出情况 </w:t>
      </w:r>
    </w:p>
    <w:p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2023年国有资本经营年初预算为179万元，分别X022线与洗马南路接线工程70万元，农村公路重大隐患整治工程109万元，实际使用项目资金为166万元 ，分别为X022线与洗马南路接线工程57万元，农村公路重大隐患整治工程109万元。</w:t>
      </w:r>
    </w:p>
    <w:p>
      <w:pPr>
        <w:pStyle w:val="6"/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三、绩效评价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按照区财政局绩效考核工作要求，年度公路建养中心整体支出及项目支出纳入评价范围，涉及2023年的预算收入为3133.60万元，其中财政拨款资金收入2138.69万元，其他资金收入994.91万元，2023年预算支出3074.2684万元，其中事业支出2924.2684万元，上缴财政支出150万元。我中心依照绩效自评相关工作流程认真完成了绩效评价工作，具体评价内容及要求见《云溪区公路建养中心部门（单位）整体支出绩效自评情况表》《云溪区公路建养中心项目支出绩效自评情况表》。</w:t>
      </w:r>
    </w:p>
    <w:p>
      <w:p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所有项目严格按照岳云政发（2022）2号《岳阳市云溪区政府性项目投资项目管理办法》实行管理。在资金管理和使用上严格按照项目管理制度实施，做到精细化管理，按进度和规定进行资金拨付。</w:t>
      </w:r>
    </w:p>
    <w:p>
      <w:p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四、存在问题和建议</w:t>
      </w:r>
    </w:p>
    <w:p>
      <w:pPr>
        <w:pStyle w:val="6"/>
        <w:numPr>
          <w:ilvl w:val="0"/>
          <w:numId w:val="0"/>
        </w:num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1、公路养护资金严重不足，2023年度我中心仅收到国省道省补专项养护资金97万元，而日常养护资金47.9846万元无预算，经费的不足导致路面维修不及时，管养难度大，成而造成道路安全隐患。</w:t>
      </w:r>
    </w:p>
    <w:p>
      <w:pPr>
        <w:pStyle w:val="6"/>
        <w:numPr>
          <w:ilvl w:val="0"/>
          <w:numId w:val="4"/>
        </w:numPr>
        <w:ind w:firstLine="634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由于部分项目资金配备与项目推进不同步，造成结算时效差异，难免不能按年度12月份准时结清，造成财务检查与预算资金责任明晰划分困挠，给工作带来一定的被动，2024年尽最大努力使之同步核算支付。</w:t>
      </w: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ind w:left="0" w:leftChars="0" w:firstLine="5389" w:firstLineChars="1700"/>
        <w:rPr>
          <w:rFonts w:hint="default" w:eastAsia="仿宋_GB2312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  <w:r>
        <w:rPr>
          <w:rFonts w:hint="eastAsia" w:eastAsia="仿宋_GB2312"/>
          <w:sz w:val="32"/>
          <w:szCs w:val="32"/>
          <w:lang w:val="en-US" w:eastAsia="zh-CN"/>
        </w:rPr>
        <w:t>二0二四年五月十日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</w:t>
      </w:r>
    </w:p>
    <w:sectPr>
      <w:pgSz w:w="11906" w:h="16838"/>
      <w:pgMar w:top="1440" w:right="1701" w:bottom="1440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sz w:val="24"/>
        <w:szCs w:val="24"/>
      </w:rPr>
    </w:pPr>
    <w:r>
      <w:rPr>
        <w:rStyle w:val="5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5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5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5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5D0679"/>
    <w:multiLevelType w:val="singleLevel"/>
    <w:tmpl w:val="A25D067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D4C6C40"/>
    <w:multiLevelType w:val="singleLevel"/>
    <w:tmpl w:val="3D4C6C40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46777520"/>
    <w:multiLevelType w:val="singleLevel"/>
    <w:tmpl w:val="46777520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65151365"/>
    <w:multiLevelType w:val="singleLevel"/>
    <w:tmpl w:val="65151365"/>
    <w:lvl w:ilvl="0" w:tentative="0">
      <w:start w:val="2"/>
      <w:numFmt w:val="chineseCounting"/>
      <w:suff w:val="nothing"/>
      <w:lvlText w:val="（%1）"/>
      <w:lvlJc w:val="left"/>
      <w:pPr>
        <w:ind w:left="5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5ZmM3NjNlZjU4ZmFlM2Y5NDU4MDYwYzlhYTRkZjgifQ=="/>
  </w:docVars>
  <w:rsids>
    <w:rsidRoot w:val="4A2E134F"/>
    <w:rsid w:val="01077BED"/>
    <w:rsid w:val="03CA285B"/>
    <w:rsid w:val="057E5747"/>
    <w:rsid w:val="07AA7010"/>
    <w:rsid w:val="08031CD8"/>
    <w:rsid w:val="08F024B8"/>
    <w:rsid w:val="0D1A5AD4"/>
    <w:rsid w:val="0D5C3E53"/>
    <w:rsid w:val="0D8266B0"/>
    <w:rsid w:val="147C5547"/>
    <w:rsid w:val="189E70EE"/>
    <w:rsid w:val="18E327F2"/>
    <w:rsid w:val="19B24465"/>
    <w:rsid w:val="23CE76C9"/>
    <w:rsid w:val="2C527DA2"/>
    <w:rsid w:val="32BB33FD"/>
    <w:rsid w:val="34034EE6"/>
    <w:rsid w:val="34466127"/>
    <w:rsid w:val="359633C4"/>
    <w:rsid w:val="384D2BD3"/>
    <w:rsid w:val="3C637281"/>
    <w:rsid w:val="3E245F48"/>
    <w:rsid w:val="405A62FA"/>
    <w:rsid w:val="41121768"/>
    <w:rsid w:val="41B539A0"/>
    <w:rsid w:val="42203F57"/>
    <w:rsid w:val="44621C7E"/>
    <w:rsid w:val="44F920E8"/>
    <w:rsid w:val="4A2E134F"/>
    <w:rsid w:val="4B4F793E"/>
    <w:rsid w:val="50233721"/>
    <w:rsid w:val="52B05EAE"/>
    <w:rsid w:val="52CB275B"/>
    <w:rsid w:val="589B59EC"/>
    <w:rsid w:val="5A2F1CE1"/>
    <w:rsid w:val="5C835947"/>
    <w:rsid w:val="5E5E283D"/>
    <w:rsid w:val="5FE5531C"/>
    <w:rsid w:val="60803296"/>
    <w:rsid w:val="60963441"/>
    <w:rsid w:val="64EF09EB"/>
    <w:rsid w:val="6E63536F"/>
    <w:rsid w:val="6F863CF9"/>
    <w:rsid w:val="74097EF3"/>
    <w:rsid w:val="7E0E1E7D"/>
    <w:rsid w:val="7FC8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5">
    <w:name w:val="page number"/>
    <w:uiPriority w:val="0"/>
  </w:style>
  <w:style w:type="paragraph" w:customStyle="1" w:styleId="6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2369</Words>
  <Characters>2884</Characters>
  <Lines>0</Lines>
  <Paragraphs>0</Paragraphs>
  <TotalTime>1</TotalTime>
  <ScaleCrop>false</ScaleCrop>
  <LinksUpToDate>false</LinksUpToDate>
  <CharactersWithSpaces>2909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2022-09-29T07:46:00Z</dcterms:created>
  <dc:creator>冷利</dc:creator>
  <cp:lastModifiedBy>冷利</cp:lastModifiedBy>
  <dcterms:modified xsi:type="dcterms:W3CDTF">2024-06-11T08:38:41Z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46CBD1E8938B438094E1404F97E217B1</vt:lpwstr>
  </property>
</Properties>
</file>