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岳阳市云溪区归国华侨联合会</w:t>
      </w:r>
      <w:r>
        <w:rPr>
          <w:rFonts w:hint="eastAsia" w:eastAsia="仿宋_GB2312"/>
          <w:sz w:val="32"/>
          <w:szCs w:val="32"/>
          <w:u w:val="single"/>
        </w:rPr>
        <w:t xml:space="preserve">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153001  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评价方式：岳阳市云溪区归国华侨联合会绩效自评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评价机构：岳阳市云溪区归国华侨联合会评价组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年 </w:t>
      </w:r>
      <w:r>
        <w:rPr>
          <w:rFonts w:hint="eastAsia" w:eastAsia="仿宋_GB2312"/>
          <w:sz w:val="32"/>
          <w:lang w:val="en-US" w:eastAsia="zh-CN"/>
        </w:rPr>
        <w:t>05</w:t>
      </w:r>
      <w:r>
        <w:rPr>
          <w:rFonts w:hint="eastAsia" w:eastAsia="仿宋_GB2312"/>
          <w:sz w:val="32"/>
        </w:rPr>
        <w:t xml:space="preserve">月 </w:t>
      </w:r>
      <w:r>
        <w:rPr>
          <w:rFonts w:hint="eastAsia" w:eastAsia="仿宋_GB2312"/>
          <w:sz w:val="32"/>
          <w:lang w:val="en-US" w:eastAsia="zh-CN"/>
        </w:rPr>
        <w:t>22</w:t>
      </w:r>
      <w:r>
        <w:rPr>
          <w:rFonts w:hint="eastAsia" w:eastAsia="仿宋_GB2312"/>
          <w:sz w:val="32"/>
        </w:rPr>
        <w:t>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</w:rPr>
        <w:t>岳阳市云溪财政</w:t>
      </w:r>
      <w:r>
        <w:rPr>
          <w:rFonts w:hint="eastAsia" w:eastAsia="仿宋_GB2312"/>
          <w:sz w:val="32"/>
          <w:szCs w:val="32"/>
        </w:rPr>
        <w:t>局（制）</w:t>
      </w:r>
    </w:p>
    <w:p>
      <w:pPr>
        <w:pStyle w:val="8"/>
        <w:rPr>
          <w:rFonts w:hint="eastAsia" w:eastAsia="仿宋_GB2312"/>
          <w:sz w:val="32"/>
          <w:szCs w:val="32"/>
        </w:rPr>
      </w:pPr>
    </w:p>
    <w:p>
      <w:pPr>
        <w:pStyle w:val="8"/>
        <w:rPr>
          <w:rFonts w:hint="eastAsia" w:eastAsia="仿宋_GB2312"/>
          <w:sz w:val="32"/>
          <w:szCs w:val="32"/>
        </w:rPr>
      </w:pPr>
    </w:p>
    <w:p>
      <w:pPr>
        <w:pStyle w:val="8"/>
        <w:rPr>
          <w:rFonts w:hint="eastAsia" w:eastAsia="仿宋_GB2312"/>
          <w:sz w:val="32"/>
          <w:szCs w:val="32"/>
        </w:rPr>
      </w:pPr>
    </w:p>
    <w:p>
      <w:pPr>
        <w:pStyle w:val="8"/>
        <w:rPr>
          <w:rFonts w:hint="eastAsia" w:eastAsia="仿宋_GB2312"/>
          <w:sz w:val="32"/>
          <w:szCs w:val="32"/>
        </w:rPr>
      </w:pPr>
    </w:p>
    <w:p>
      <w:pPr>
        <w:pStyle w:val="8"/>
        <w:rPr>
          <w:rFonts w:hint="eastAsia" w:eastAsia="仿宋_GB2312"/>
          <w:sz w:val="32"/>
          <w:szCs w:val="32"/>
        </w:rPr>
      </w:pPr>
    </w:p>
    <w:p>
      <w:pPr>
        <w:pStyle w:val="8"/>
        <w:rPr>
          <w:rFonts w:hint="eastAsia" w:eastAsia="仿宋_GB2312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tbl>
      <w:tblPr>
        <w:tblStyle w:val="5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753"/>
        <w:gridCol w:w="780"/>
        <w:gridCol w:w="121"/>
        <w:gridCol w:w="824"/>
        <w:gridCol w:w="395"/>
        <w:gridCol w:w="1080"/>
        <w:gridCol w:w="5"/>
        <w:gridCol w:w="1257"/>
        <w:gridCol w:w="5"/>
        <w:gridCol w:w="5"/>
        <w:gridCol w:w="1143"/>
        <w:gridCol w:w="15"/>
        <w:gridCol w:w="311"/>
        <w:gridCol w:w="422"/>
        <w:gridCol w:w="477"/>
        <w:gridCol w:w="155"/>
        <w:gridCol w:w="30"/>
        <w:gridCol w:w="325"/>
        <w:gridCol w:w="720"/>
        <w:gridCol w:w="9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9800" w:type="dxa"/>
            <w:gridSpan w:val="2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三、部门（单位）整体支出绩效自评情况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42" w:hRule="atLeast"/>
          <w:jc w:val="center"/>
        </w:trPr>
        <w:tc>
          <w:tcPr>
            <w:tcW w:w="75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12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年初预算</w:t>
            </w:r>
          </w:p>
        </w:tc>
        <w:tc>
          <w:tcPr>
            <w:tcW w:w="126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全年预算数</w:t>
            </w:r>
          </w:p>
        </w:tc>
        <w:tc>
          <w:tcPr>
            <w:tcW w:w="2378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全年执行数</w:t>
            </w:r>
          </w:p>
        </w:tc>
        <w:tc>
          <w:tcPr>
            <w:tcW w:w="5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分值</w:t>
            </w: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执行率</w:t>
            </w:r>
          </w:p>
        </w:tc>
        <w:tc>
          <w:tcPr>
            <w:tcW w:w="97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22" w:hRule="atLeast"/>
          <w:jc w:val="center"/>
        </w:trPr>
        <w:tc>
          <w:tcPr>
            <w:tcW w:w="753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98"/>
              </w:tabs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年度预算申请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240" w:lineRule="exact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（万元）</w:t>
            </w:r>
          </w:p>
        </w:tc>
        <w:tc>
          <w:tcPr>
            <w:tcW w:w="212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年度资金总额</w:t>
            </w: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32.88</w:t>
            </w:r>
          </w:p>
        </w:tc>
        <w:tc>
          <w:tcPr>
            <w:tcW w:w="126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35.39</w:t>
            </w:r>
          </w:p>
        </w:tc>
        <w:tc>
          <w:tcPr>
            <w:tcW w:w="2378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35.39</w:t>
            </w:r>
          </w:p>
        </w:tc>
        <w:tc>
          <w:tcPr>
            <w:tcW w:w="5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107%</w:t>
            </w:r>
          </w:p>
        </w:tc>
        <w:tc>
          <w:tcPr>
            <w:tcW w:w="97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37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按收入性质分：35.39</w:t>
            </w:r>
          </w:p>
        </w:tc>
        <w:tc>
          <w:tcPr>
            <w:tcW w:w="4585" w:type="dxa"/>
            <w:gridSpan w:val="1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按支出性质分：35.39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02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其中：一般公共预算：35.39</w:t>
            </w:r>
          </w:p>
        </w:tc>
        <w:tc>
          <w:tcPr>
            <w:tcW w:w="4585" w:type="dxa"/>
            <w:gridSpan w:val="1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其中：基本支出：30.75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90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政府性基金拨款：0</w:t>
            </w:r>
          </w:p>
        </w:tc>
        <w:tc>
          <w:tcPr>
            <w:tcW w:w="4585" w:type="dxa"/>
            <w:gridSpan w:val="1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 项目支出：4.64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22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纳入专户管理的非税收入拨款：0</w:t>
            </w:r>
          </w:p>
        </w:tc>
        <w:tc>
          <w:tcPr>
            <w:tcW w:w="4585" w:type="dxa"/>
            <w:gridSpan w:val="1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7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其他资金：0</w:t>
            </w:r>
          </w:p>
        </w:tc>
        <w:tc>
          <w:tcPr>
            <w:tcW w:w="4585" w:type="dxa"/>
            <w:gridSpan w:val="1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87" w:hRule="atLeast"/>
          <w:jc w:val="center"/>
        </w:trPr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年度总体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目标</w:t>
            </w:r>
          </w:p>
        </w:tc>
        <w:tc>
          <w:tcPr>
            <w:tcW w:w="4462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预期目标</w:t>
            </w:r>
          </w:p>
        </w:tc>
        <w:tc>
          <w:tcPr>
            <w:tcW w:w="4585" w:type="dxa"/>
            <w:gridSpan w:val="1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实际完成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27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24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4462" w:type="dxa"/>
            <w:gridSpan w:val="7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任务1：积极服务中心工作，继续开展侨情摸底；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任务2：扎实开展走访慰问，真情开展联络联谊；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任务3：热情帮扶困难侨眷，认真办理涉侨信访。</w:t>
            </w:r>
          </w:p>
        </w:tc>
        <w:tc>
          <w:tcPr>
            <w:tcW w:w="4585" w:type="dxa"/>
            <w:gridSpan w:val="1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1、对我区归侨、侨眷进行摸底调查，加强归侨、侨眷法制教育，稳定了我区社会经济发展。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2：对我区归侨、侨眷进行走访慰问，组织开展联谊会议。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3：为我区归侨、侨眷提供法律咨询和服务，及时化解存在的矛盾和纠纷。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绩效指标</w:t>
            </w:r>
          </w:p>
        </w:tc>
        <w:tc>
          <w:tcPr>
            <w:tcW w:w="78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一级指标</w:t>
            </w:r>
          </w:p>
        </w:tc>
        <w:tc>
          <w:tcPr>
            <w:tcW w:w="94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二级指标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三级指标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年度指标</w:t>
            </w:r>
          </w:p>
        </w:tc>
        <w:tc>
          <w:tcPr>
            <w:tcW w:w="114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实际完成值</w:t>
            </w:r>
          </w:p>
        </w:tc>
        <w:tc>
          <w:tcPr>
            <w:tcW w:w="748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分值</w:t>
            </w:r>
          </w:p>
        </w:tc>
        <w:tc>
          <w:tcPr>
            <w:tcW w:w="63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得分</w:t>
            </w:r>
          </w:p>
        </w:tc>
        <w:tc>
          <w:tcPr>
            <w:tcW w:w="2052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产出目标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50分）</w:t>
            </w: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质量指标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开展本区涉侨工作宣传履盖面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1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侨务慰问工作完成率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ind w:firstLine="446" w:firstLineChars="0"/>
              <w:jc w:val="both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联络联谊完成率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数量指标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台港澳台港澳海外侨胞统战工作宣传完成率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61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慰问困难归侨及退休侨务老干部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3万元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3万元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61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开展主题活动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≥98%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≥98%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时效指标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任务完成时间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2023年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按时完成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成本指标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联络联谊经费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2.2万元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侨眷慰问经费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3万元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3万元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涉侨宣传经费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2万元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1.64万元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效益目标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30分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维护归侨、侨眷的合法权益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及时有效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及时有效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28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经济效益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促进我区侨胞经济发展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促进我区侨胞经济发展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极大促进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生态效益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无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无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无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both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42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满意度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10分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社会公众或服务对象满意度</w:t>
            </w:r>
          </w:p>
        </w:tc>
        <w:tc>
          <w:tcPr>
            <w:tcW w:w="1480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服务对象满意度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115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33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66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88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247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7322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247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7322" w:type="dxa"/>
            <w:gridSpan w:val="1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2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李灿灿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副主席</w:t>
            </w:r>
          </w:p>
        </w:tc>
        <w:tc>
          <w:tcPr>
            <w:tcW w:w="1479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区侨联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刘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妍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办公室负责人</w:t>
            </w:r>
          </w:p>
        </w:tc>
        <w:tc>
          <w:tcPr>
            <w:tcW w:w="1479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eastAsia="zh-CN"/>
              </w:rPr>
              <w:t>区侨联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2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2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20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 w:cs="仿宋_GB2312"/>
          <w:bCs/>
          <w:sz w:val="28"/>
          <w:szCs w:val="28"/>
        </w:r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8" w:hRule="atLeast"/>
          <w:jc w:val="center"/>
        </w:trPr>
        <w:tc>
          <w:tcPr>
            <w:tcW w:w="955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bidi w:val="0"/>
              <w:spacing w:line="560" w:lineRule="exact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五、评价报告综述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eastAsia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</w:rPr>
              <w:t>一、部门（单位）概况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（一）部门基本情况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岳阳市云溪区归国华侨联合会为区财政全额拨款单位，2023年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单位人员编制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人，实有人数</w:t>
            </w: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人。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（二）部门主要职能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宣传、贯彻党和政府的方针、政策，团结动员广大归侨、侨眷积极投身我区改革开放和社会主义现代化建设；依法维护归侨、侨眷的合法权益，依法开展相关活动；制定全区侨联发展规划和工作计划，并组织实施；负责全区归侨、侨眷代表大会及其委员会的决议、决定的实施；积极参政议政，参与政治协商，发挥民主监督作用，参与人大、政协的侨界代表、委员人选的协商和推荐；围绕经济建设，凝聚侨心，发挥侨力，引资引智，为侨服务；密切与海外侨胞及其社团的联系，广泛了解归侨、侨眷和海外侨胞的意见和要求，为党和政府制订侨务政策提出建议和意见，配合立法部门开展华侨权益保护立法调研；承办区委交办的其他工作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二、一般公共预算支出情况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本部门2023年一般公共预算财政拨款收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入35.39万元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，无政府性基金拨款等其他收入。全年支出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35.39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万元，</w:t>
            </w: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具体为：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（一）基本支出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情况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eastAsia="zh-CN"/>
              </w:rPr>
              <w:t>基本支出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30.75</w:t>
            </w: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万元，占比87%。其中，工资福利支出25.54万元，占比83%；商品和服务支出5.2万元，占比17%；对个人和家庭的补助0万元；资本性支出0万元。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（二）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支出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情况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eastAsia="zh-CN"/>
              </w:rPr>
              <w:t>项目支出</w:t>
            </w: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4.64万元，其中涉侨宣传项目支出1.64万元，占比35%；侨眷慰问项目支出3万元，占比65%。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三、政府性基金预算支出情况</w:t>
            </w:r>
          </w:p>
          <w:p>
            <w:pPr>
              <w:pStyle w:val="2"/>
              <w:ind w:firstLine="480" w:firstLineChars="200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2023年本部门无政府性基金预算支出的支出。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  <w:t>四、</w:t>
            </w: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国有资本经营预算支出情况</w:t>
            </w:r>
          </w:p>
          <w:p>
            <w:pPr>
              <w:pStyle w:val="2"/>
              <w:ind w:firstLine="480" w:firstLineChars="200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2023年本部门无国有资本经营预算的支出。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kern w:val="2"/>
                <w:sz w:val="24"/>
                <w:szCs w:val="24"/>
                <w:lang w:val="en-US" w:eastAsia="zh-CN" w:bidi="ar-SA"/>
              </w:rPr>
              <w:t>五、</w:t>
            </w: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社会保险基金预算支出情况</w:t>
            </w:r>
          </w:p>
          <w:p>
            <w:pPr>
              <w:pStyle w:val="2"/>
              <w:ind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2023年本部门无社会保险基金预算的支出。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六、部门整体支出绩效情况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2023年，我单位</w:t>
            </w: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在区委区政府的坚强领导下，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以习近平新时代中国特色社会主义思想为指导，紧扣落实省政府真抓实干督查激励措施，践行为民服务宗旨，全面履职尽责，守正创新，真抓实干，较好的完成了各项绩效目标</w:t>
            </w: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整</w:t>
            </w:r>
            <w:r>
              <w:rPr>
                <w:rFonts w:hint="eastAsia" w:ascii="宋体" w:hAnsi="宋体" w:cs="宋体"/>
                <w:bCs/>
                <w:sz w:val="24"/>
                <w:szCs w:val="24"/>
                <w:lang w:eastAsia="zh-CN"/>
              </w:rPr>
              <w:t>体支出绩效情况如下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，</w:t>
            </w:r>
          </w:p>
          <w:p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预算控制率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100</w:t>
            </w: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%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，财政供养人员控制在预算编制以内，“三公”经费支出总额较上年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增加0.28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万元，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较上年增长68</w:t>
            </w:r>
            <w:r>
              <w:rPr>
                <w:rFonts w:hint="default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%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。预算执行方面：根据“总量控制、计划管理”的要求从严控制行政经费，严格控制“三公”经费，支出总额控制在预算总额以内。</w:t>
            </w:r>
          </w:p>
          <w:p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预算管理方面：切实有效地执行了各项财务管理制度、车辆、资产内部管理制度，资产配置严格政府采购，按照预算科目规定使用财政资金，保障资金支出的规范化、制度化，项目资金坚持按专项资金管理制度有效执行，确保专款专用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履职效能方面：202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年我单位密切联系我区归侨、侨眷及海外侨胞，了解侨情民意，畅通沟通渠道，帮扶归侨侨眷；加强对归侨和侨眷的法制、思想道德教育；维护归侨、侨眷的合法权益和海外侨胞在国内的正当权益，为我区的改革发展稳定服务。</w:t>
            </w:r>
          </w:p>
          <w:p>
            <w:pPr>
              <w:pStyle w:val="9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七、存在的问题及原因分析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eastAsia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2023年我单位在能较好的完成各项工作任务，并按相关规定使用财政资金，做到“花钱必有效”，但还存在一定问题，如：资产管理工作有待加强、制度建设需进一步完善、人员专业素质有待提高等。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下一步改进措施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jc w:val="left"/>
              <w:textAlignment w:val="auto"/>
              <w:rPr>
                <w:rFonts w:hint="eastAsia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我单位将进一步完善预算绩效管理制度、资金管理办法、工作保障制度等相关制度；进一步加强资产管理工作，规范财务管理，强化人员培训，提高业务人员专业水平。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480" w:firstLineChars="200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kern w:val="2"/>
                <w:sz w:val="24"/>
                <w:szCs w:val="24"/>
                <w:lang w:val="en-US" w:eastAsia="zh-CN" w:bidi="ar-SA"/>
              </w:rPr>
              <w:t>九、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其他需要说明的情况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480" w:firstLineChars="200"/>
              <w:jc w:val="left"/>
              <w:textAlignment w:val="auto"/>
              <w:rPr>
                <w:rFonts w:hint="default" w:ascii="黑体" w:hAnsi="黑体" w:eastAsia="黑体" w:cs="黑体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无其他需要说明的情况。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rPr>
        <w:rStyle w:val="7"/>
        <w:sz w:val="24"/>
        <w:szCs w:val="24"/>
      </w:rPr>
    </w:pPr>
    <w:r>
      <w:rPr>
        <w:rStyle w:val="7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7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7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7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03D179"/>
    <w:multiLevelType w:val="singleLevel"/>
    <w:tmpl w:val="0A03D179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1YTEzYzY4NmU4YWI0MmM4NjhmY2MzZGY1ODJhOGMifQ=="/>
  </w:docVars>
  <w:rsids>
    <w:rsidRoot w:val="4F347D5C"/>
    <w:rsid w:val="11271AF3"/>
    <w:rsid w:val="4D701615"/>
    <w:rsid w:val="4F347D5C"/>
    <w:rsid w:val="5EBE1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</w:style>
  <w:style w:type="paragraph" w:styleId="3">
    <w:name w:val="toc 5"/>
    <w:basedOn w:val="1"/>
    <w:next w:val="1"/>
    <w:autoRedefine/>
    <w:qFormat/>
    <w:uiPriority w:val="0"/>
    <w:pPr>
      <w:keepNext w:val="0"/>
      <w:keepLines w:val="0"/>
      <w:widowControl w:val="0"/>
      <w:suppressLineNumbers w:val="0"/>
      <w:ind w:left="1680" w:leftChars="800"/>
      <w:jc w:val="both"/>
    </w:pPr>
    <w:rPr>
      <w:rFonts w:hint="default" w:ascii="Times New Roman" w:hAnsi="Times New Roman" w:cs="Calibri"/>
      <w:kern w:val="2"/>
      <w:sz w:val="21"/>
      <w:szCs w:val="21"/>
      <w:lang w:val="en-US" w:eastAsia="zh-CN" w:bidi="ar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styleId="7">
    <w:name w:val="page number"/>
    <w:autoRedefine/>
    <w:qFormat/>
    <w:uiPriority w:val="0"/>
  </w:style>
  <w:style w:type="paragraph" w:customStyle="1" w:styleId="8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styleId="9">
    <w:name w:val="List Paragraph"/>
    <w:basedOn w:val="1"/>
    <w:autoRedefine/>
    <w:qFormat/>
    <w:uiPriority w:val="99"/>
    <w:pPr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23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2024-05-24T08:16:00Z</dcterms:created>
  <dc:creator>衣茹Anna</dc:creator>
  <cp:lastModifiedBy>衣茹Anna</cp:lastModifiedBy>
  <cp:lastPrinted>2024-05-27T00:56:11Z</cp:lastPrinted>
  <dcterms:modified xsi:type="dcterms:W3CDTF">2024-05-27T01:02:49Z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F1962FD554C34C6DAE2ADB2D65048DBA_11</vt:lpwstr>
  </property>
</Properties>
</file>